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932445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932445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2445">
        <w:rPr>
          <w:rFonts w:eastAsia="Calibri"/>
          <w:b/>
        </w:rPr>
        <w:t>П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С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Т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А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В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Л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Е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И</w:t>
      </w:r>
      <w:r w:rsidR="00932445">
        <w:rPr>
          <w:rFonts w:eastAsia="Calibri"/>
          <w:b/>
        </w:rPr>
        <w:t xml:space="preserve"> </w:t>
      </w:r>
      <w:r w:rsidR="008F0EC7" w:rsidRPr="00932445">
        <w:rPr>
          <w:rFonts w:eastAsia="Calibri"/>
          <w:b/>
        </w:rPr>
        <w:t>Е</w:t>
      </w:r>
    </w:p>
    <w:p w:rsidR="008F0EC7" w:rsidRPr="00932445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93244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93244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B53F6E">
              <w:rPr>
                <w:b/>
              </w:rPr>
              <w:t>25.09</w:t>
            </w:r>
            <w:r w:rsidRPr="00932445">
              <w:rPr>
                <w:b/>
              </w:rPr>
              <w:t>.2018</w:t>
            </w:r>
          </w:p>
        </w:tc>
        <w:tc>
          <w:tcPr>
            <w:tcW w:w="2906" w:type="pct"/>
            <w:vAlign w:val="bottom"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445">
              <w:rPr>
                <w:b/>
              </w:rPr>
              <w:t xml:space="preserve">№ </w:t>
            </w:r>
            <w:r w:rsidR="00EA15E4" w:rsidRPr="00932445">
              <w:rPr>
                <w:b/>
              </w:rPr>
              <w:t>1-1/</w:t>
            </w:r>
            <w:r w:rsidR="00B53F6E">
              <w:rPr>
                <w:b/>
              </w:rPr>
              <w:t>75</w:t>
            </w:r>
          </w:p>
        </w:tc>
      </w:tr>
    </w:tbl>
    <w:p w:rsidR="008F0EC7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932445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CB16ED" w:rsidRPr="00932445" w:rsidRDefault="00BA2F2F" w:rsidP="00932445">
      <w:pPr>
        <w:jc w:val="center"/>
        <w:rPr>
          <w:b/>
        </w:rPr>
      </w:pPr>
      <w:r>
        <w:rPr>
          <w:b/>
        </w:rPr>
        <w:t>«</w:t>
      </w:r>
      <w:r w:rsidR="00046C3C" w:rsidRPr="00932445">
        <w:rPr>
          <w:b/>
        </w:rPr>
        <w:t>О внесении</w:t>
      </w:r>
      <w:r w:rsidR="00932445" w:rsidRPr="00932445">
        <w:rPr>
          <w:b/>
        </w:rPr>
        <w:t xml:space="preserve"> изменений в постановление от 22.01.2018 № 1-1/7</w:t>
      </w:r>
      <w:r w:rsidR="00046C3C" w:rsidRPr="00932445">
        <w:rPr>
          <w:b/>
        </w:rPr>
        <w:t xml:space="preserve"> «</w:t>
      </w:r>
      <w:r w:rsidR="008F0EC7" w:rsidRPr="00932445">
        <w:rPr>
          <w:b/>
        </w:rPr>
        <w:t>О</w:t>
      </w:r>
      <w:r w:rsidR="005C0E1E" w:rsidRPr="00932445">
        <w:rPr>
          <w:b/>
        </w:rPr>
        <w:t>б утверждении</w:t>
      </w:r>
      <w:r w:rsidR="00AC32FA" w:rsidRPr="00932445">
        <w:rPr>
          <w:b/>
        </w:rPr>
        <w:t xml:space="preserve"> план</w:t>
      </w:r>
      <w:r w:rsidR="005C0E1E" w:rsidRPr="00932445">
        <w:rPr>
          <w:b/>
        </w:rPr>
        <w:t>а</w:t>
      </w:r>
      <w:r w:rsidR="00AC32FA" w:rsidRPr="00932445">
        <w:rPr>
          <w:b/>
        </w:rPr>
        <w:t>-график</w:t>
      </w:r>
      <w:r w:rsidR="005C0E1E" w:rsidRPr="00932445">
        <w:rPr>
          <w:b/>
        </w:rPr>
        <w:t>а</w:t>
      </w:r>
      <w:r w:rsidR="008F0EC7" w:rsidRPr="0093244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 w:rsidR="00932445">
        <w:rPr>
          <w:b/>
        </w:rPr>
        <w:t xml:space="preserve"> </w:t>
      </w:r>
      <w:r w:rsidR="00932445" w:rsidRPr="00932445">
        <w:rPr>
          <w:b/>
        </w:rPr>
        <w:t>на 2018</w:t>
      </w:r>
      <w:r w:rsidR="008F0EC7" w:rsidRPr="00932445">
        <w:rPr>
          <w:b/>
        </w:rPr>
        <w:t xml:space="preserve"> год</w:t>
      </w:r>
      <w:r w:rsidR="00046C3C" w:rsidRPr="00932445">
        <w:rPr>
          <w:b/>
        </w:rPr>
        <w:t>»</w:t>
      </w:r>
    </w:p>
    <w:p w:rsidR="008F0EC7" w:rsidRDefault="008F0EC7" w:rsidP="00FA4EAE">
      <w:pPr>
        <w:jc w:val="center"/>
      </w:pPr>
    </w:p>
    <w:p w:rsidR="005F0C4E" w:rsidRPr="00FA4EAE" w:rsidRDefault="005F0C4E" w:rsidP="00FA4EAE">
      <w:pPr>
        <w:jc w:val="center"/>
      </w:pPr>
    </w:p>
    <w:p w:rsidR="008F0EC7" w:rsidRDefault="008F0EC7" w:rsidP="00BA2F2F">
      <w:pPr>
        <w:ind w:right="-143"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C207B8" w:rsidRPr="00FA4EAE" w:rsidRDefault="008B7EA0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003518">
        <w:t xml:space="preserve">Внести изменения в </w:t>
      </w:r>
      <w:r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932445">
        <w:t>2018</w:t>
      </w:r>
      <w:r w:rsidRPr="00FA4EAE">
        <w:t xml:space="preserve"> </w:t>
      </w:r>
      <w:r w:rsidR="007E2503" w:rsidRPr="00FA4EAE">
        <w:t>год</w:t>
      </w:r>
      <w:r w:rsidR="00003518">
        <w:t xml:space="preserve"> и утвердить его в новой редакции согласно приложению.</w:t>
      </w:r>
      <w:r w:rsidR="007E2503" w:rsidRPr="00FA4EAE">
        <w:t xml:space="preserve"> 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Контроль за исполнением настоящего </w:t>
      </w:r>
      <w:r w:rsidR="00BA2F2F">
        <w:t>постановления возложить на Страхову</w:t>
      </w:r>
      <w:r w:rsidR="00932445">
        <w:t xml:space="preserve"> </w:t>
      </w:r>
      <w:r w:rsidR="007E2503" w:rsidRPr="00FA4EAE">
        <w:t>С.В.</w:t>
      </w:r>
    </w:p>
    <w:p w:rsidR="00C207B8" w:rsidRPr="00FA4EAE" w:rsidRDefault="00C207B8" w:rsidP="00BA2F2F">
      <w:pPr>
        <w:pStyle w:val="a4"/>
        <w:ind w:left="0" w:right="-285"/>
        <w:jc w:val="both"/>
      </w:pPr>
    </w:p>
    <w:p w:rsidR="00C207B8" w:rsidRPr="00FA4EAE" w:rsidRDefault="00C207B8" w:rsidP="00BA2F2F">
      <w:pPr>
        <w:pStyle w:val="a4"/>
        <w:ind w:left="0" w:right="-285"/>
        <w:jc w:val="both"/>
      </w:pPr>
    </w:p>
    <w:p w:rsidR="006903D3" w:rsidRPr="00FA4EAE" w:rsidRDefault="006903D3" w:rsidP="00BA2F2F">
      <w:pPr>
        <w:pStyle w:val="a4"/>
        <w:ind w:left="0" w:right="-285"/>
        <w:jc w:val="both"/>
      </w:pPr>
    </w:p>
    <w:p w:rsidR="00C207B8" w:rsidRPr="00FA4EAE" w:rsidRDefault="00E12381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proofErr w:type="spellStart"/>
      <w:r>
        <w:t>И.о</w:t>
      </w:r>
      <w:proofErr w:type="spellEnd"/>
      <w:r>
        <w:t>. Главы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="007E2503"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</w:t>
      </w:r>
      <w:r>
        <w:t xml:space="preserve">   </w:t>
      </w:r>
      <w:r w:rsidR="006903D3" w:rsidRPr="00FA4EAE">
        <w:t xml:space="preserve">    </w:t>
      </w:r>
      <w:r>
        <w:t>С.В. Страхова</w:t>
      </w:r>
    </w:p>
    <w:p w:rsidR="00C207B8" w:rsidRPr="00FA4EAE" w:rsidRDefault="00C207B8" w:rsidP="00BA2F2F">
      <w:pPr>
        <w:pStyle w:val="a4"/>
        <w:ind w:left="0" w:right="-285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B53F6E" w:rsidP="00FA4EAE">
      <w:pPr>
        <w:pStyle w:val="2"/>
        <w:jc w:val="right"/>
      </w:pPr>
      <w:r>
        <w:t>от 25.09.18 № 1-1/75</w:t>
      </w:r>
    </w:p>
    <w:p w:rsidR="00FA4EAE" w:rsidRPr="00FA4EAE" w:rsidRDefault="00FA4EAE" w:rsidP="00FA4EAE"/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6E285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="00EA0BF1">
              <w:rPr>
                <w:sz w:val="12"/>
                <w:szCs w:val="12"/>
              </w:rPr>
              <w:t>.08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25.09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115DC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6 670</w:t>
            </w:r>
            <w:bookmarkStart w:id="0" w:name="_GoBack"/>
            <w:bookmarkEnd w:id="0"/>
            <w:r w:rsidR="00EA0BF1">
              <w:rPr>
                <w:sz w:val="12"/>
                <w:szCs w:val="12"/>
              </w:rPr>
              <w:t xml:space="preserve"> 787.30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1261"/>
        <w:gridCol w:w="553"/>
        <w:gridCol w:w="603"/>
        <w:gridCol w:w="561"/>
        <w:gridCol w:w="393"/>
        <w:gridCol w:w="392"/>
        <w:gridCol w:w="458"/>
        <w:gridCol w:w="308"/>
        <w:gridCol w:w="288"/>
        <w:gridCol w:w="485"/>
        <w:gridCol w:w="364"/>
        <w:gridCol w:w="274"/>
        <w:gridCol w:w="326"/>
        <w:gridCol w:w="458"/>
        <w:gridCol w:w="308"/>
        <w:gridCol w:w="288"/>
        <w:gridCol w:w="485"/>
        <w:gridCol w:w="573"/>
        <w:gridCol w:w="326"/>
        <w:gridCol w:w="433"/>
        <w:gridCol w:w="533"/>
        <w:gridCol w:w="433"/>
        <w:gridCol w:w="494"/>
        <w:gridCol w:w="573"/>
        <w:gridCol w:w="576"/>
        <w:gridCol w:w="535"/>
        <w:gridCol w:w="592"/>
        <w:gridCol w:w="527"/>
        <w:gridCol w:w="862"/>
        <w:gridCol w:w="541"/>
        <w:gridCol w:w="734"/>
        <w:gridCol w:w="534"/>
      </w:tblGrid>
      <w:tr w:rsidR="00EA0BF1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rHeight w:val="929"/>
          <w:tblCellSpacing w:w="15" w:type="dxa"/>
        </w:trPr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2306126,28</w:t>
            </w:r>
          </w:p>
        </w:tc>
        <w:tc>
          <w:tcPr>
            <w:tcW w:w="363" w:type="dxa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2306126.28</w:t>
            </w: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2306126.28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 Периодичность поставки товаров (выполнения работ, оказания услуг): единовременно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90 календарных дней </w:t>
            </w:r>
            <w:r w:rsidRPr="008A709A">
              <w:rPr>
                <w:sz w:val="12"/>
                <w:szCs w:val="12"/>
              </w:rPr>
              <w:lastRenderedPageBreak/>
              <w:t>с даты подписания контракта</w:t>
            </w:r>
          </w:p>
        </w:tc>
        <w:tc>
          <w:tcPr>
            <w:tcW w:w="0" w:type="auto"/>
            <w:vAlign w:val="center"/>
          </w:tcPr>
          <w:p w:rsidR="00BE06EC" w:rsidRPr="008A709A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23061.26</w:t>
            </w:r>
          </w:p>
        </w:tc>
        <w:tc>
          <w:tcPr>
            <w:tcW w:w="0" w:type="auto"/>
            <w:vAlign w:val="center"/>
          </w:tcPr>
          <w:p w:rsidR="00BE06EC" w:rsidRPr="008A709A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115306.31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06.2018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Изменение закупки 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приведение в соответствие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8A709A" w:rsidRPr="008A709A" w:rsidRDefault="008A709A" w:rsidP="008A709A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F876AB" w:rsidRPr="008A709A" w:rsidRDefault="00F876AB" w:rsidP="00F876AB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</w:t>
            </w:r>
            <w:r w:rsidRPr="008A709A">
              <w:rPr>
                <w:sz w:val="12"/>
                <w:szCs w:val="12"/>
              </w:rPr>
              <w:lastRenderedPageBreak/>
              <w:t>утвержденными требованиями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363" w:type="dxa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</w:t>
            </w:r>
            <w:r w:rsidR="00EA0BF1">
              <w:rPr>
                <w:sz w:val="12"/>
                <w:szCs w:val="12"/>
              </w:rPr>
              <w:t>4661.02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</w:t>
            </w:r>
            <w:r w:rsidR="00EA0BF1">
              <w:rPr>
                <w:sz w:val="12"/>
                <w:szCs w:val="12"/>
              </w:rPr>
              <w:t>4661.02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</w:t>
            </w:r>
            <w:r w:rsidR="00EA0BF1">
              <w:rPr>
                <w:sz w:val="12"/>
                <w:szCs w:val="12"/>
              </w:rPr>
              <w:t>4661.02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</w:t>
            </w:r>
            <w:r w:rsidR="00EA0BF1">
              <w:rPr>
                <w:sz w:val="12"/>
                <w:szCs w:val="12"/>
              </w:rPr>
              <w:t>4661.02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CA2861">
        <w:trPr>
          <w:trHeight w:val="271"/>
          <w:tblCellSpacing w:w="15" w:type="dxa"/>
        </w:trPr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183340302058034030100100060010000414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AA3ECA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AA3ECA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EA0BF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2656126.2</w:t>
            </w:r>
            <w:r w:rsidR="00CA2861">
              <w:rPr>
                <w:sz w:val="12"/>
                <w:szCs w:val="12"/>
              </w:rPr>
              <w:t>8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3A5B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667</w:t>
            </w:r>
            <w:r w:rsidR="00CA2861">
              <w:rPr>
                <w:sz w:val="12"/>
                <w:szCs w:val="12"/>
              </w:rPr>
              <w:t>0787.30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667</w:t>
            </w:r>
            <w:r w:rsidR="00CA2861">
              <w:rPr>
                <w:sz w:val="12"/>
                <w:szCs w:val="12"/>
              </w:rPr>
              <w:t>0787.30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932445" w:rsidRPr="00746165" w:rsidTr="00CB16ED">
        <w:trPr>
          <w:tblCellSpacing w:w="15" w:type="dxa"/>
        </w:trPr>
        <w:tc>
          <w:tcPr>
            <w:tcW w:w="150" w:type="pct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«25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19"/>
        <w:gridCol w:w="622"/>
        <w:gridCol w:w="155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A13FDE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DB7FF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Default="00932445" w:rsidP="00932445">
      <w:pPr>
        <w:spacing w:after="240"/>
        <w:rPr>
          <w:sz w:val="12"/>
          <w:szCs w:val="12"/>
        </w:rPr>
      </w:pPr>
    </w:p>
    <w:p w:rsidR="00442B77" w:rsidRPr="00746165" w:rsidRDefault="00442B77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424"/>
        <w:gridCol w:w="1421"/>
        <w:gridCol w:w="1655"/>
        <w:gridCol w:w="3314"/>
        <w:gridCol w:w="1761"/>
        <w:gridCol w:w="1026"/>
        <w:gridCol w:w="1797"/>
        <w:gridCol w:w="1344"/>
      </w:tblGrid>
      <w:tr w:rsidR="00932445" w:rsidRPr="00746165" w:rsidTr="00CB16ED">
        <w:trPr>
          <w:tblCellSpacing w:w="15" w:type="dxa"/>
        </w:trPr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</w:t>
            </w:r>
            <w:r w:rsidR="00BC59AA">
              <w:rPr>
                <w:sz w:val="12"/>
                <w:szCs w:val="12"/>
              </w:rPr>
              <w:t xml:space="preserve"> </w:t>
            </w:r>
            <w:r w:rsidRPr="00746165">
              <w:rPr>
                <w:sz w:val="12"/>
                <w:szCs w:val="12"/>
              </w:rPr>
              <w:t>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A3ECA" w:rsidP="003E04C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2 306 126.28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042B39" w:rsidRPr="00746165" w:rsidTr="00042B39">
        <w:trPr>
          <w:trHeight w:val="710"/>
          <w:tblCellSpacing w:w="15" w:type="dxa"/>
        </w:trPr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042B39" w:rsidRDefault="00A13FDE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4 01</w:t>
            </w:r>
            <w:r w:rsidR="00AA3ECA">
              <w:rPr>
                <w:sz w:val="12"/>
                <w:szCs w:val="12"/>
              </w:rPr>
              <w:t>4 661.02</w:t>
            </w:r>
          </w:p>
          <w:p w:rsidR="00CA2861" w:rsidRPr="00746165" w:rsidRDefault="00AA3ECA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соответствии со ст.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«25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03518"/>
    <w:rsid w:val="00042B39"/>
    <w:rsid w:val="00046C3C"/>
    <w:rsid w:val="00051BD3"/>
    <w:rsid w:val="00052344"/>
    <w:rsid w:val="0008644D"/>
    <w:rsid w:val="000D36C3"/>
    <w:rsid w:val="00115DC4"/>
    <w:rsid w:val="00140AF7"/>
    <w:rsid w:val="001D31D7"/>
    <w:rsid w:val="0026517E"/>
    <w:rsid w:val="00291499"/>
    <w:rsid w:val="0032049F"/>
    <w:rsid w:val="003244A1"/>
    <w:rsid w:val="00347029"/>
    <w:rsid w:val="003A5B91"/>
    <w:rsid w:val="003E04C5"/>
    <w:rsid w:val="00411E3F"/>
    <w:rsid w:val="004124C6"/>
    <w:rsid w:val="004274CE"/>
    <w:rsid w:val="00442B77"/>
    <w:rsid w:val="004B161C"/>
    <w:rsid w:val="004F088D"/>
    <w:rsid w:val="004F57CB"/>
    <w:rsid w:val="0054367D"/>
    <w:rsid w:val="00561AB5"/>
    <w:rsid w:val="005706A6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6E2854"/>
    <w:rsid w:val="00766C4A"/>
    <w:rsid w:val="007A429C"/>
    <w:rsid w:val="007D4522"/>
    <w:rsid w:val="007E2503"/>
    <w:rsid w:val="008A6CEE"/>
    <w:rsid w:val="008A709A"/>
    <w:rsid w:val="008B7EA0"/>
    <w:rsid w:val="008D59C3"/>
    <w:rsid w:val="008F0EC7"/>
    <w:rsid w:val="008F0FD9"/>
    <w:rsid w:val="00910313"/>
    <w:rsid w:val="00914717"/>
    <w:rsid w:val="009222C5"/>
    <w:rsid w:val="00932445"/>
    <w:rsid w:val="00974426"/>
    <w:rsid w:val="009B6D15"/>
    <w:rsid w:val="00A13FDE"/>
    <w:rsid w:val="00A167EC"/>
    <w:rsid w:val="00A17269"/>
    <w:rsid w:val="00A86AD6"/>
    <w:rsid w:val="00AA3ECA"/>
    <w:rsid w:val="00AC32FA"/>
    <w:rsid w:val="00AF353C"/>
    <w:rsid w:val="00B13780"/>
    <w:rsid w:val="00B5085B"/>
    <w:rsid w:val="00B53F6E"/>
    <w:rsid w:val="00BA2F2F"/>
    <w:rsid w:val="00BA4EB3"/>
    <w:rsid w:val="00BB3087"/>
    <w:rsid w:val="00BC59AA"/>
    <w:rsid w:val="00BE06EC"/>
    <w:rsid w:val="00BE29A6"/>
    <w:rsid w:val="00BF66E7"/>
    <w:rsid w:val="00C06FF6"/>
    <w:rsid w:val="00C207B8"/>
    <w:rsid w:val="00C55146"/>
    <w:rsid w:val="00CA2861"/>
    <w:rsid w:val="00CB16ED"/>
    <w:rsid w:val="00CC206B"/>
    <w:rsid w:val="00D47166"/>
    <w:rsid w:val="00D81ADB"/>
    <w:rsid w:val="00D85CC1"/>
    <w:rsid w:val="00DB7FF4"/>
    <w:rsid w:val="00E12381"/>
    <w:rsid w:val="00E15F3D"/>
    <w:rsid w:val="00E9199B"/>
    <w:rsid w:val="00EA0BF1"/>
    <w:rsid w:val="00EA15E4"/>
    <w:rsid w:val="00F00165"/>
    <w:rsid w:val="00F61376"/>
    <w:rsid w:val="00F73EBA"/>
    <w:rsid w:val="00F876AB"/>
    <w:rsid w:val="00F91ACF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107</cp:revision>
  <cp:lastPrinted>2018-09-28T12:31:00Z</cp:lastPrinted>
  <dcterms:created xsi:type="dcterms:W3CDTF">2015-07-24T08:08:00Z</dcterms:created>
  <dcterms:modified xsi:type="dcterms:W3CDTF">2018-09-28T12:34:00Z</dcterms:modified>
</cp:coreProperties>
</file>