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eastAsia="Times New Roman" w:ascii="Times New Roman" w:hAnsi="Times New Roman"/>
          <w:b/>
          <w:sz w:val="28"/>
          <w:szCs w:val="20"/>
          <w:lang w:eastAsia="ru-RU"/>
        </w:rPr>
        <w:t>РЕКОМЕНДАЦИИ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eastAsia="Times New Roman" w:ascii="Times New Roman" w:hAnsi="Times New Roman"/>
          <w:b/>
          <w:sz w:val="28"/>
          <w:szCs w:val="20"/>
          <w:lang w:eastAsia="ru-RU"/>
        </w:rPr>
        <w:t>аппарата антитеррористической комиссии в Волгоградской области</w:t>
      </w:r>
      <w:r>
        <w:rPr/>
        <w:t xml:space="preserve"> </w:t>
      </w:r>
      <w:r>
        <w:rPr>
          <w:rFonts w:eastAsia="Times New Roman" w:ascii="Times New Roman" w:hAnsi="Times New Roman"/>
          <w:b/>
          <w:sz w:val="28"/>
          <w:szCs w:val="20"/>
          <w:lang w:eastAsia="ru-RU"/>
        </w:rPr>
        <w:t>руководителям органов исполнительной власти Волгоградской области,</w:t>
      </w:r>
      <w:r>
        <w:rPr>
          <w:rFonts w:eastAsia="Times New Roman" w:ascii="Times New Roman" w:hAnsi="Times New Roman"/>
          <w:sz w:val="28"/>
          <w:szCs w:val="20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8"/>
          <w:szCs w:val="20"/>
          <w:lang w:eastAsia="ru-RU"/>
        </w:rPr>
        <w:t>главам муниципальных районов и городских округов Волгоградской области, председателям</w:t>
      </w:r>
      <w:r>
        <w:rPr/>
        <w:t xml:space="preserve"> </w:t>
      </w:r>
      <w:r>
        <w:rPr>
          <w:rFonts w:eastAsia="Times New Roman" w:ascii="Times New Roman" w:hAnsi="Times New Roman"/>
          <w:b/>
          <w:sz w:val="28"/>
          <w:szCs w:val="20"/>
          <w:lang w:eastAsia="ru-RU"/>
        </w:rPr>
        <w:t xml:space="preserve">антитеррористических комиссий муниципальных районов и городских округов Волгоградской области по обеспечению правопорядка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eastAsia="Times New Roman" w:ascii="Times New Roman" w:hAnsi="Times New Roman"/>
          <w:b/>
          <w:sz w:val="28"/>
          <w:szCs w:val="20"/>
          <w:lang w:eastAsia="ru-RU"/>
        </w:rPr>
        <w:t xml:space="preserve">и антитеррористической защищенности в период подготовки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0"/>
          <w:lang w:eastAsia="ru-RU"/>
        </w:rPr>
        <w:t>и проведения</w:t>
      </w:r>
      <w:r>
        <w:rPr/>
        <w:t xml:space="preserve"> </w:t>
      </w:r>
      <w:r>
        <w:rPr>
          <w:rFonts w:eastAsia="Times New Roman" w:ascii="Times New Roman" w:hAnsi="Times New Roman"/>
          <w:b/>
          <w:sz w:val="28"/>
          <w:szCs w:val="20"/>
          <w:lang w:eastAsia="ru-RU"/>
        </w:rPr>
        <w:t>праздничных мероприятий, посвященных Дню России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eastAsia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eastAsia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spacing w:val="-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0"/>
          <w:lang w:eastAsia="ru-RU"/>
        </w:rPr>
        <w:t>Рекомендовать руководителям</w:t>
      </w:r>
      <w:r>
        <w:rPr/>
        <w:t xml:space="preserve"> </w:t>
      </w:r>
      <w:r>
        <w:rPr>
          <w:rFonts w:eastAsia="Times New Roman" w:ascii="Times New Roman" w:hAnsi="Times New Roman"/>
          <w:sz w:val="28"/>
          <w:szCs w:val="20"/>
          <w:lang w:eastAsia="ru-RU"/>
        </w:rPr>
        <w:t>исполнительных органов Волгоградской области, главам муниципальных районов и городских округов Волгоградской области, председателям антитеррористических комиссий муниципальных районов и городских округов Волгоградской области совместно с правоохранительными органами</w:t>
      </w:r>
      <w:r>
        <w:rPr>
          <w:rFonts w:eastAsia="Times New Roman" w:ascii="Times New Roman" w:hAnsi="Times New Roman"/>
          <w:spacing w:val="-2"/>
          <w:sz w:val="28"/>
          <w:szCs w:val="28"/>
          <w:lang w:eastAsia="ru-RU"/>
        </w:rPr>
        <w:t>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eastAsia="Times New Roman"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Организовать принятие руководителями потенциальных объектов террористических посягательств дополнительных мер, направленных </w:t>
        <w:br/>
        <w:t>на усиление антитеррористической защищенности. Особое внимание обратить на критически важные и потенциально опасные объекты, объекты жизнеобеспечения и места массового пребывания людей, объекты транспортной инфраструктуры, объекты (территории) проведения праздничных мероприятий.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Провести инструктажи, оказать методическую и практическую помощь руководству и персоналу указанных объектов по вопросам антитеррористической защищенности, порядку действий </w:t>
        <w:br/>
        <w:t>при возникновении террористических угроз, в том числе с использованием беспилотных летательных аппаратов и иных чрезвычайных ситуаций.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Поддерживать в постоянной готовности силы и средства, необходимые для минимизации и ликвидации последствий террористических актов и других чрезвычайных ситуаций. Провести корректировку расчета указанных сил и средств. Создать необходимый запас ресурсов и средств, необходимых для ликвидации аварийных ситуаций. Провести дополнительные проверки состояния </w:t>
        <w:br/>
        <w:t>и работоспособности звуковой сигнализации для оповещения людей, средств телефонной и радиосвязи.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eastAsia="Times New Roman"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Организовать проведение комплексного обследования объектов, предназначенных для проведения праздничных мероприятий, прилегающих территорий.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Во взаимодействии с органами внутренних дел обеспечить своевременное ограничение движения автотранспорта в местах проведения праздничных мероприятий. Исключить неконтролируемую парковку транспорта вблизи мест массового пребывания людей.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eastAsia="Times New Roman"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Организовать проведение информационно-разъяснительных мероприятий для населения с целью недопущения нарушений общественного порядка при проведении праздничных мероприятий, разъяснения порядка действий в случае возникновения террористических угроз и иных чрезвычайных ситуаций.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eastAsia="Times New Roman"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Организовать</w:t>
      </w:r>
      <w:r>
        <w:rPr/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с 11.06.2024 по 13.06.2024 дежурство должностных лиц органов местного самоуправления, представителей муниципальных антитеррористических комиссий, учреждений здравоохранения </w:t>
        <w:br/>
        <w:t xml:space="preserve">и образования, предприятий жилищно-коммунального сектора, топливно-энергетического комплекса и транспортной инфраструктуры </w:t>
        <w:br/>
        <w:t xml:space="preserve">для осуществления взаимодействия всех заинтересованных структур </w:t>
        <w:br/>
        <w:t>в случае возникновения чрезвычайных ситуаций. При осложнении оперативной обстановки, угрозах возникновения чрезвычайных ситуаций незамедлительно информировать органы правопорядка.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6.</w:t>
      </w:r>
      <w:r>
        <w:rPr>
          <w:rFonts w:eastAsia="Times New Roman"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Обеспечить контроль за эффективным функционированием единой дежурно-диспетчерской службы и АПК "Безопасный город". </w:t>
        <w:br/>
        <w:t>На постоянной основе осуществлять проверки эффективности взаимодействия операторов указанных систем с заинтересованными структурами.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7.</w:t>
      </w:r>
      <w:r>
        <w:rPr>
          <w:rFonts w:eastAsia="Times New Roman"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Обеспечить привлечение сил добровольных народных (казачьих) дружин, других общественных формирований правоохранительной направленности для охраны общественного порядка в период проведения праздничных мероприятий.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8.</w:t>
      </w:r>
      <w:r>
        <w:rPr>
          <w:rFonts w:eastAsia="Times New Roman"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Организовать проведение профилактических мероприятий </w:t>
        <w:br/>
        <w:t>с представителями этнических, религиозных организаций с целью недопущения проявлений экстремизма.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9.</w:t>
      </w:r>
      <w:r>
        <w:rPr>
          <w:rFonts w:eastAsia="Times New Roman"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Оказать практическую и методическую помощь подведомственным учреждениям в организации дополнительных административно-режимных мероприятий по обеспечению безопасности персонала и объектов, в пределах своей компетенции взять на контроль выполнение настоящих рекомендаций.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Аппарат антитеррористической комиссии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Волгоградской области </w:t>
      </w:r>
    </w:p>
    <w:sectPr>
      <w:headerReference w:type="default" r:id="rId2"/>
      <w:type w:val="nextPage"/>
      <w:pgSz w:w="11906" w:h="16838"/>
      <w:pgMar w:left="1701" w:right="1134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2</w:t>
    </w:r>
    <w:r>
      <w:rPr>
        <w:sz w:val="24"/>
        <w:szCs w:val="24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Верхний колонтитул Знак"/>
    <w:uiPriority w:val="99"/>
    <w:qFormat/>
    <w:rsid w:val="00db0d62"/>
    <w:rPr>
      <w:sz w:val="22"/>
      <w:szCs w:val="22"/>
      <w:lang w:eastAsia="en-US"/>
    </w:rPr>
  </w:style>
  <w:style w:type="character" w:styleId="Style15" w:customStyle="1">
    <w:name w:val="Нижний колонтитул Знак"/>
    <w:uiPriority w:val="99"/>
    <w:qFormat/>
    <w:rsid w:val="00db0d62"/>
    <w:rPr>
      <w:sz w:val="22"/>
      <w:szCs w:val="22"/>
      <w:lang w:eastAsia="en-US"/>
    </w:rPr>
  </w:style>
  <w:style w:type="character" w:styleId="Style16" w:customStyle="1">
    <w:name w:val="Текст выноски Знак"/>
    <w:link w:val="BalloonText"/>
    <w:uiPriority w:val="99"/>
    <w:semiHidden/>
    <w:qFormat/>
    <w:rsid w:val="001e6777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b0d6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db0d6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e67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LibreOffice/7.6.4.1$Linux_X86_64 LibreOffice_project/60$Build-1</Application>
  <AppVersion>15.0000</AppVersion>
  <Pages>2</Pages>
  <Words>419</Words>
  <Characters>3687</Characters>
  <CharactersWithSpaces>4099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2024-05-31T12:21:00Z</dcterms:created>
  <dc:creator>Бурлуцкий Игорь Анатольевич</dc:creator>
  <dc:description/>
  <dc:language>ru-RU</dc:language>
  <cp:lastModifiedBy>Кириллов Евгений Владимирович</cp:lastModifiedBy>
  <cp:lastPrinted>2017-04-13T09:57:00Z</cp:lastPrinted>
  <dcterms:modified xsi:type="dcterms:W3CDTF">2024-05-31T12:21:00Z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