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4"/>
        <w:spacing w:before="0" w:after="0"/>
        <w:jc w:val="center"/>
        <w:rPr>
          <w:sz w:val="24"/>
          <w:szCs w:val="24"/>
        </w:rPr>
      </w:pPr>
      <w:r>
        <w:rPr>
          <w:sz w:val="24"/>
          <w:szCs w:val="24"/>
        </w:rPr>
        <w:t xml:space="preserve">Договор купли-продажи объекта незавершенного строительства № ________   </w:t>
      </w:r>
    </w:p>
    <w:p>
      <w:pPr>
        <w:pStyle w:val="Normal"/>
        <w:rPr>
          <w:sz w:val="24"/>
          <w:szCs w:val="24"/>
        </w:rPr>
      </w:pPr>
      <w:r>
        <w:rPr>
          <w:sz w:val="24"/>
          <w:szCs w:val="24"/>
        </w:rPr>
      </w:r>
    </w:p>
    <w:p>
      <w:pPr>
        <w:pStyle w:val="4"/>
        <w:spacing w:before="0" w:after="0"/>
        <w:jc w:val="center"/>
        <w:rPr>
          <w:sz w:val="24"/>
          <w:szCs w:val="24"/>
        </w:rPr>
      </w:pPr>
      <w:r>
        <w:rPr>
          <w:sz w:val="24"/>
          <w:szCs w:val="24"/>
        </w:rPr>
        <w:t>г. Волгоград                                                  "_____" ______________ 20___ г.</w:t>
      </w:r>
    </w:p>
    <w:p>
      <w:pPr>
        <w:pStyle w:val="Normal"/>
        <w:ind w:firstLine="700"/>
        <w:jc w:val="both"/>
        <w:rPr>
          <w:sz w:val="24"/>
          <w:szCs w:val="24"/>
        </w:rPr>
      </w:pPr>
      <w:r>
        <w:rPr>
          <w:sz w:val="24"/>
          <w:szCs w:val="24"/>
        </w:rPr>
      </w:r>
    </w:p>
    <w:p>
      <w:pPr>
        <w:pStyle w:val="Normal"/>
        <w:ind w:firstLine="709"/>
        <w:jc w:val="both"/>
        <w:rPr>
          <w:color w:val="auto"/>
          <w:sz w:val="24"/>
          <w:szCs w:val="24"/>
        </w:rPr>
      </w:pPr>
      <w:r>
        <w:rPr>
          <w:color w:val="auto"/>
          <w:sz w:val="24"/>
          <w:szCs w:val="24"/>
        </w:rPr>
        <w:t>Комитет по управлению государственным имуществом Волгоградской области</w:t>
        <w:br/>
        <w:t>(далее – Облкомимущество) в лице председателя комитета по управлению государственным имуществом Волгоградской области Кондратенко Ирины Владимировны, действующего на основании Положения о комитете по управлению государственным имуществом Волгоградской области, утвержденного постановлением Губернатора Волгоградской области от 12 января 2026 г. № 10</w:t>
      </w:r>
      <w:bookmarkStart w:id="0" w:name="_GoBack"/>
      <w:bookmarkEnd w:id="0"/>
      <w:r>
        <w:rPr>
          <w:color w:val="auto"/>
          <w:sz w:val="24"/>
          <w:szCs w:val="24"/>
        </w:rPr>
        <w:t xml:space="preserve">, именуемый в дальнейшем "Продавец", с одной стороны, и </w:t>
      </w:r>
    </w:p>
    <w:p>
      <w:pPr>
        <w:pStyle w:val="Normal"/>
        <w:ind w:firstLine="709"/>
        <w:jc w:val="both"/>
        <w:rPr>
          <w:color w:val="auto"/>
          <w:sz w:val="24"/>
          <w:szCs w:val="24"/>
        </w:rPr>
      </w:pPr>
      <w:r>
        <w:rPr>
          <w:color w:val="auto"/>
          <w:sz w:val="24"/>
          <w:szCs w:val="24"/>
        </w:rPr>
        <w:t xml:space="preserve">________ , именуемый в дальнейшем "Покупатель", с другой стороны, далее именуемые совместно "Стороны", </w:t>
      </w:r>
    </w:p>
    <w:p>
      <w:pPr>
        <w:pStyle w:val="Normal"/>
        <w:ind w:firstLine="709"/>
        <w:jc w:val="both"/>
        <w:rPr>
          <w:color w:val="auto"/>
          <w:sz w:val="24"/>
          <w:szCs w:val="24"/>
        </w:rPr>
      </w:pPr>
      <w:r>
        <w:rPr>
          <w:color w:val="auto"/>
          <w:sz w:val="24"/>
          <w:szCs w:val="24"/>
        </w:rPr>
        <w:t xml:space="preserve">в соответствии со статьей 239.1 Гражданского кодекса Российской Федерации, </w:t>
      </w:r>
      <w:r>
        <w:rPr>
          <w:color w:val="000000"/>
          <w:sz w:val="24"/>
          <w:szCs w:val="24"/>
        </w:rPr>
        <w:t>решением Городищенского районного суда Волгоградской области от 24 июля 2025 г.</w:t>
        <w:br/>
        <w:t xml:space="preserve">по делу № 2-1027/2025, вступившее в законную силу 02 сентября 2025 г., с учетом определения Городищенского районного суда Волгоградской области от 04 марта 2026 г., на основании </w:t>
      </w:r>
      <w:r>
        <w:rPr>
          <w:color w:val="auto"/>
          <w:sz w:val="24"/>
          <w:szCs w:val="24"/>
        </w:rPr>
        <w:t xml:space="preserve">протокола ________________ заключили настоящий договор (далее именуется – Договор) о нижеследующем: </w:t>
      </w:r>
    </w:p>
    <w:p>
      <w:pPr>
        <w:pStyle w:val="Normal"/>
        <w:ind w:firstLine="709"/>
        <w:jc w:val="both"/>
        <w:rPr>
          <w:color w:val="auto"/>
          <w:sz w:val="24"/>
          <w:szCs w:val="24"/>
        </w:rPr>
      </w:pPr>
      <w:r>
        <w:rPr>
          <w:color w:val="auto"/>
          <w:sz w:val="24"/>
          <w:szCs w:val="24"/>
        </w:rPr>
      </w:r>
    </w:p>
    <w:p>
      <w:pPr>
        <w:pStyle w:val="Normal"/>
        <w:jc w:val="center"/>
        <w:rPr>
          <w:b/>
          <w:b/>
          <w:color w:val="auto"/>
          <w:sz w:val="24"/>
          <w:szCs w:val="24"/>
        </w:rPr>
      </w:pPr>
      <w:r>
        <w:rPr>
          <w:b/>
          <w:color w:val="auto"/>
          <w:sz w:val="24"/>
          <w:szCs w:val="24"/>
        </w:rPr>
        <w:t>1. Предмет договора</w:t>
      </w:r>
    </w:p>
    <w:p>
      <w:pPr>
        <w:pStyle w:val="Twpcp1"/>
        <w:spacing w:lineRule="auto" w:line="240"/>
        <w:ind w:firstLine="540"/>
        <w:rPr>
          <w:rFonts w:ascii="Times New Roman" w:hAnsi="Times New Roman"/>
          <w:color w:val="auto"/>
          <w:sz w:val="24"/>
          <w:szCs w:val="24"/>
        </w:rPr>
      </w:pPr>
      <w:r>
        <w:rPr>
          <w:rFonts w:ascii="Times New Roman" w:hAnsi="Times New Roman"/>
          <w:color w:val="auto"/>
          <w:sz w:val="24"/>
          <w:szCs w:val="24"/>
        </w:rPr>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1.1. Продавец обязуется передать в собственность, а Покупатель принять</w:t>
        <w:br/>
        <w:t>и оплатить по цене и на условиях Договора объект незавершенного строительства (далее – Имущество):</w:t>
      </w:r>
    </w:p>
    <w:p>
      <w:pPr>
        <w:pStyle w:val="Normal"/>
        <w:ind w:firstLine="720"/>
        <w:jc w:val="both"/>
        <w:rPr>
          <w:spacing w:val="-2"/>
          <w:sz w:val="24"/>
          <w:szCs w:val="24"/>
        </w:rPr>
      </w:pPr>
      <w:r>
        <w:rPr>
          <w:spacing w:val="-2"/>
          <w:sz w:val="24"/>
          <w:szCs w:val="24"/>
        </w:rPr>
        <w:t>Кадастровый номер объекта незавершенного строительства: 34:03:120003:1342.</w:t>
      </w:r>
    </w:p>
    <w:p>
      <w:pPr>
        <w:pStyle w:val="Normal"/>
        <w:ind w:firstLine="720"/>
        <w:jc w:val="both"/>
        <w:rPr>
          <w:spacing w:val="-2"/>
          <w:sz w:val="24"/>
          <w:szCs w:val="24"/>
        </w:rPr>
      </w:pPr>
      <w:r>
        <w:rPr>
          <w:spacing w:val="-2"/>
          <w:sz w:val="24"/>
          <w:szCs w:val="24"/>
        </w:rPr>
        <w:t>Местоположение: Волгоградская область, Городищенский район, подъезд</w:t>
        <w:br/>
        <w:t>к г. Волгограду от автодороги "Сызрань-Саратов-Волгоград" км 05+900м., Автозаправочный комплекс.</w:t>
      </w:r>
    </w:p>
    <w:p>
      <w:pPr>
        <w:pStyle w:val="Normal"/>
        <w:ind w:firstLine="720"/>
        <w:jc w:val="both"/>
        <w:rPr>
          <w:spacing w:val="-2"/>
          <w:sz w:val="24"/>
          <w:szCs w:val="24"/>
        </w:rPr>
      </w:pPr>
      <w:r>
        <w:rPr>
          <w:spacing w:val="-2"/>
          <w:sz w:val="24"/>
          <w:szCs w:val="24"/>
        </w:rPr>
        <w:t xml:space="preserve">Степень готовности объекта незавершенного строительства: </w:t>
      </w:r>
      <w:r>
        <w:rPr>
          <w:rFonts w:eastAsia="Times New Roman" w:cs="Times New Roman"/>
          <w:color w:val="auto"/>
          <w:spacing w:val="-2"/>
          <w:sz w:val="24"/>
          <w:szCs w:val="24"/>
          <w:lang w:val="ru-RU" w:eastAsia="zh-CN" w:bidi="ar-SA"/>
        </w:rPr>
        <w:t>4</w:t>
      </w:r>
      <w:r>
        <w:rPr>
          <w:spacing w:val="-2"/>
          <w:sz w:val="24"/>
          <w:szCs w:val="24"/>
        </w:rPr>
        <w:t>%.</w:t>
      </w:r>
    </w:p>
    <w:p>
      <w:pPr>
        <w:pStyle w:val="Normal"/>
        <w:ind w:firstLine="720"/>
        <w:jc w:val="both"/>
        <w:rPr>
          <w:spacing w:val="-2"/>
          <w:sz w:val="24"/>
          <w:szCs w:val="24"/>
        </w:rPr>
      </w:pPr>
      <w:r>
        <w:rPr>
          <w:spacing w:val="-2"/>
          <w:sz w:val="24"/>
          <w:szCs w:val="24"/>
        </w:rPr>
        <w:t>Запис</w:t>
      </w:r>
      <w:r>
        <w:rPr>
          <w:spacing w:val="-2"/>
          <w:sz w:val="24"/>
          <w:szCs w:val="24"/>
        </w:rPr>
        <w:t>и</w:t>
      </w:r>
      <w:r>
        <w:rPr>
          <w:spacing w:val="-2"/>
          <w:sz w:val="24"/>
          <w:szCs w:val="24"/>
        </w:rPr>
        <w:t xml:space="preserve"> о государственной регистрации права собственности на объект незавершенного строительства: </w:t>
      </w:r>
    </w:p>
    <w:p>
      <w:pPr>
        <w:pStyle w:val="Normal"/>
        <w:autoSpaceDE w:val="false"/>
        <w:ind w:left="0" w:right="0" w:firstLine="720"/>
        <w:jc w:val="both"/>
        <w:rPr>
          <w:spacing w:val="-2"/>
          <w:sz w:val="24"/>
          <w:szCs w:val="24"/>
        </w:rPr>
      </w:pPr>
      <w:r>
        <w:rPr>
          <w:spacing w:val="-2"/>
          <w:sz w:val="24"/>
          <w:szCs w:val="24"/>
        </w:rPr>
        <w:t>- от 01.12.2017 № 34:03:120003:1342-34/001/2017-1 (</w:t>
      </w:r>
      <w:r>
        <w:rPr>
          <w:rFonts w:eastAsia="Times New Roman" w:cs="Times New Roman"/>
          <w:color w:val="auto"/>
          <w:spacing w:val="-2"/>
          <w:sz w:val="24"/>
          <w:szCs w:val="24"/>
          <w:lang w:val="ru-RU" w:eastAsia="zh-CN" w:bidi="ar-SA"/>
        </w:rPr>
        <w:t>1/2</w:t>
      </w:r>
      <w:r>
        <w:rPr>
          <w:spacing w:val="-2"/>
          <w:sz w:val="24"/>
          <w:szCs w:val="24"/>
        </w:rPr>
        <w:t xml:space="preserve"> доля в праве);</w:t>
      </w:r>
    </w:p>
    <w:p>
      <w:pPr>
        <w:pStyle w:val="Normal"/>
        <w:autoSpaceDE w:val="false"/>
        <w:ind w:left="0" w:right="0" w:firstLine="720"/>
        <w:jc w:val="both"/>
        <w:rPr>
          <w:spacing w:val="-2"/>
          <w:sz w:val="24"/>
          <w:szCs w:val="24"/>
        </w:rPr>
      </w:pPr>
      <w:r>
        <w:rPr>
          <w:spacing w:val="-2"/>
          <w:sz w:val="24"/>
          <w:szCs w:val="24"/>
        </w:rPr>
        <w:t>- от 01.12.2017 № 34:03:120003:1342-34/001/2017-2 (</w:t>
      </w:r>
      <w:r>
        <w:rPr>
          <w:rFonts w:eastAsia="Times New Roman" w:cs="Times New Roman"/>
          <w:color w:val="auto"/>
          <w:spacing w:val="-2"/>
          <w:sz w:val="24"/>
          <w:szCs w:val="24"/>
          <w:lang w:val="ru-RU" w:eastAsia="zh-CN" w:bidi="ar-SA"/>
        </w:rPr>
        <w:t>1/2</w:t>
      </w:r>
      <w:r>
        <w:rPr>
          <w:spacing w:val="-2"/>
          <w:sz w:val="24"/>
          <w:szCs w:val="24"/>
        </w:rPr>
        <w:t xml:space="preserve"> доля в праве).</w:t>
      </w:r>
    </w:p>
    <w:p>
      <w:pPr>
        <w:pStyle w:val="Normal"/>
        <w:ind w:firstLine="720"/>
        <w:jc w:val="both"/>
        <w:rPr>
          <w:spacing w:val="-3"/>
          <w:sz w:val="24"/>
          <w:szCs w:val="24"/>
        </w:rPr>
      </w:pPr>
      <w:r>
        <w:rPr>
          <w:spacing w:val="-3"/>
          <w:sz w:val="24"/>
          <w:szCs w:val="24"/>
        </w:rPr>
        <w:t>Информация об обременении предмета аукциона: не зарегистрировано.</w:t>
      </w:r>
    </w:p>
    <w:p>
      <w:pPr>
        <w:pStyle w:val="Normal"/>
        <w:ind w:firstLine="720"/>
        <w:jc w:val="both"/>
        <w:rPr>
          <w:spacing w:val="-2"/>
          <w:sz w:val="24"/>
          <w:szCs w:val="24"/>
        </w:rPr>
      </w:pPr>
      <w:r>
        <w:rPr>
          <w:spacing w:val="-2"/>
          <w:sz w:val="24"/>
          <w:szCs w:val="24"/>
        </w:rPr>
        <w:t>Сведения о земельном участке, в границах которого расположен объект незавершенного строительства, и не являющемся предметом аукциона (далее – Участок):</w:t>
      </w:r>
    </w:p>
    <w:p>
      <w:pPr>
        <w:pStyle w:val="Normal"/>
        <w:ind w:firstLine="720"/>
        <w:jc w:val="both"/>
        <w:rPr>
          <w:spacing w:val="-2"/>
          <w:sz w:val="24"/>
          <w:szCs w:val="24"/>
        </w:rPr>
      </w:pPr>
      <w:r>
        <w:rPr>
          <w:spacing w:val="-2"/>
          <w:sz w:val="24"/>
          <w:szCs w:val="24"/>
        </w:rPr>
        <w:t>кадастровый номер Участка: 34:03:120003:179;</w:t>
      </w:r>
    </w:p>
    <w:p>
      <w:pPr>
        <w:pStyle w:val="Normal"/>
        <w:ind w:firstLine="720"/>
        <w:jc w:val="both"/>
        <w:rPr>
          <w:spacing w:val="-2"/>
          <w:sz w:val="24"/>
          <w:szCs w:val="24"/>
        </w:rPr>
      </w:pPr>
      <w:r>
        <w:rPr>
          <w:spacing w:val="-2"/>
          <w:sz w:val="24"/>
          <w:szCs w:val="24"/>
        </w:rPr>
        <w:t>площадь Участка: 10</w:t>
      </w:r>
      <w:r>
        <w:rPr>
          <w:rFonts w:eastAsia="Times New Roman" w:cs="Times New Roman"/>
          <w:color w:val="000000"/>
          <w:spacing w:val="-2"/>
          <w:sz w:val="24"/>
          <w:szCs w:val="24"/>
          <w:lang w:val="ru-RU" w:eastAsia="zh-CN" w:bidi="ar-SA"/>
        </w:rPr>
        <w:t>614</w:t>
      </w:r>
      <w:r>
        <w:rPr>
          <w:spacing w:val="-2"/>
          <w:sz w:val="24"/>
          <w:szCs w:val="24"/>
        </w:rPr>
        <w:t xml:space="preserve"> +/- 3</w:t>
      </w:r>
      <w:r>
        <w:rPr>
          <w:rFonts w:eastAsia="Times New Roman" w:cs="Times New Roman"/>
          <w:color w:val="000000"/>
          <w:spacing w:val="-2"/>
          <w:sz w:val="24"/>
          <w:szCs w:val="24"/>
          <w:lang w:val="ru-RU" w:eastAsia="zh-CN" w:bidi="ar-SA"/>
        </w:rPr>
        <w:t>6</w:t>
      </w:r>
      <w:r>
        <w:rPr>
          <w:spacing w:val="-2"/>
          <w:sz w:val="24"/>
          <w:szCs w:val="24"/>
        </w:rPr>
        <w:t xml:space="preserve"> кв.м;</w:t>
      </w:r>
    </w:p>
    <w:p>
      <w:pPr>
        <w:pStyle w:val="Normal"/>
        <w:ind w:firstLine="720"/>
        <w:jc w:val="both"/>
        <w:rPr>
          <w:spacing w:val="-2"/>
          <w:sz w:val="24"/>
          <w:szCs w:val="24"/>
        </w:rPr>
      </w:pPr>
      <w:r>
        <w:rPr>
          <w:spacing w:val="-2"/>
          <w:sz w:val="24"/>
          <w:szCs w:val="24"/>
        </w:rPr>
        <w:t>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pPr>
        <w:pStyle w:val="Normal"/>
        <w:ind w:firstLine="720"/>
        <w:jc w:val="both"/>
        <w:rPr>
          <w:color w:val="auto"/>
          <w:sz w:val="24"/>
          <w:szCs w:val="24"/>
        </w:rPr>
      </w:pPr>
      <w:r>
        <w:rPr>
          <w:spacing w:val="0"/>
          <w:sz w:val="24"/>
          <w:szCs w:val="24"/>
        </w:rPr>
        <w:t>вид разрешенного использования Участка: для строительства и эксплуатации автозаправочного комплекса.</w:t>
      </w:r>
    </w:p>
    <w:p>
      <w:pPr>
        <w:pStyle w:val="ConsPlusNormal1"/>
        <w:widowControl/>
        <w:tabs>
          <w:tab w:val="clear" w:pos="708"/>
          <w:tab w:val="left" w:pos="1134" w:leader="none"/>
        </w:tabs>
        <w:ind w:firstLine="709"/>
        <w:jc w:val="both"/>
        <w:rPr>
          <w:rFonts w:ascii="Times New Roman" w:hAnsi="Times New Roman"/>
          <w:color w:val="auto"/>
          <w:sz w:val="24"/>
          <w:szCs w:val="24"/>
        </w:rPr>
      </w:pPr>
      <w:r>
        <w:rPr>
          <w:rFonts w:ascii="Times New Roman" w:hAnsi="Times New Roman"/>
          <w:color w:val="auto"/>
          <w:sz w:val="24"/>
          <w:szCs w:val="24"/>
        </w:rPr>
        <w:t xml:space="preserve">1.2. Продавец гарантирует, что на момент заключения настоящего договора Имущество, указанное в пункте 1.1 Договора, не заложено, в споре и под арестом (запрещением) не состоит, право собственности не оспаривается. </w:t>
      </w:r>
    </w:p>
    <w:p>
      <w:pPr>
        <w:pStyle w:val="Normal"/>
        <w:jc w:val="center"/>
        <w:rPr>
          <w:b/>
          <w:b/>
          <w:color w:val="auto"/>
          <w:sz w:val="24"/>
          <w:szCs w:val="24"/>
        </w:rPr>
      </w:pPr>
      <w:r>
        <w:rPr>
          <w:b/>
          <w:color w:val="auto"/>
          <w:sz w:val="24"/>
          <w:szCs w:val="24"/>
        </w:rPr>
      </w:r>
    </w:p>
    <w:p>
      <w:pPr>
        <w:pStyle w:val="Normal"/>
        <w:jc w:val="center"/>
        <w:rPr>
          <w:b/>
          <w:b/>
          <w:color w:val="auto"/>
          <w:sz w:val="24"/>
          <w:szCs w:val="24"/>
        </w:rPr>
      </w:pPr>
      <w:r>
        <w:rPr>
          <w:b/>
          <w:color w:val="auto"/>
          <w:sz w:val="24"/>
          <w:szCs w:val="24"/>
        </w:rPr>
        <w:t>2. Цена и порядок расчетов</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2.1. Цена приобретаемого Покупателем Имущества, указанного в пункте 1.1 настоящего Договора, определена по результатам аукциона и составляет ________ (________) руб.</w:t>
      </w:r>
    </w:p>
    <w:p>
      <w:pPr>
        <w:pStyle w:val="ConsTitle1"/>
        <w:ind w:right="0" w:firstLine="708"/>
        <w:jc w:val="both"/>
        <w:rPr>
          <w:rFonts w:ascii="Times New Roman" w:hAnsi="Times New Roman"/>
          <w:b w:val="false"/>
          <w:b w:val="false"/>
          <w:color w:val="auto"/>
          <w:sz w:val="24"/>
          <w:szCs w:val="24"/>
        </w:rPr>
      </w:pPr>
      <w:r>
        <w:rPr>
          <w:rFonts w:ascii="Times New Roman" w:hAnsi="Times New Roman"/>
          <w:b w:val="false"/>
          <w:color w:val="auto"/>
          <w:sz w:val="24"/>
          <w:szCs w:val="24"/>
        </w:rPr>
        <w:t xml:space="preserve">2.2. Задаток в сумме </w:t>
      </w:r>
      <w:r>
        <w:rPr>
          <w:rFonts w:ascii="Times New Roman" w:hAnsi="Times New Roman"/>
          <w:color w:val="auto"/>
          <w:sz w:val="24"/>
          <w:szCs w:val="24"/>
        </w:rPr>
        <w:t xml:space="preserve">_______ </w:t>
      </w:r>
      <w:r>
        <w:rPr>
          <w:rFonts w:ascii="Times New Roman" w:hAnsi="Times New Roman"/>
          <w:b w:val="false"/>
          <w:bCs/>
          <w:color w:val="auto"/>
          <w:sz w:val="24"/>
          <w:szCs w:val="24"/>
        </w:rPr>
        <w:t>(</w:t>
      </w:r>
      <w:r>
        <w:rPr>
          <w:rFonts w:ascii="Times New Roman" w:hAnsi="Times New Roman"/>
          <w:color w:val="auto"/>
          <w:sz w:val="24"/>
          <w:szCs w:val="24"/>
        </w:rPr>
        <w:t>_______</w:t>
      </w:r>
      <w:r>
        <w:rPr>
          <w:rFonts w:ascii="Times New Roman" w:hAnsi="Times New Roman"/>
          <w:b w:val="false"/>
          <w:bCs/>
          <w:color w:val="auto"/>
          <w:sz w:val="24"/>
          <w:szCs w:val="24"/>
        </w:rPr>
        <w:t xml:space="preserve">) руб., внесенный Покупателем (платежное поручение № </w:t>
      </w:r>
      <w:r>
        <w:rPr>
          <w:rFonts w:ascii="Times New Roman" w:hAnsi="Times New Roman"/>
          <w:color w:val="auto"/>
          <w:sz w:val="24"/>
          <w:szCs w:val="24"/>
        </w:rPr>
        <w:t>_______</w:t>
      </w:r>
      <w:r>
        <w:rPr>
          <w:rFonts w:ascii="Times New Roman" w:hAnsi="Times New Roman"/>
          <w:b w:val="false"/>
          <w:bCs/>
          <w:color w:val="auto"/>
          <w:sz w:val="24"/>
          <w:szCs w:val="24"/>
        </w:rPr>
        <w:t xml:space="preserve"> от </w:t>
      </w:r>
      <w:r>
        <w:rPr>
          <w:rFonts w:ascii="Times New Roman" w:hAnsi="Times New Roman"/>
          <w:color w:val="auto"/>
          <w:sz w:val="24"/>
          <w:szCs w:val="24"/>
        </w:rPr>
        <w:t>_______</w:t>
      </w:r>
      <w:r>
        <w:rPr>
          <w:rFonts w:ascii="Times New Roman" w:hAnsi="Times New Roman"/>
          <w:b w:val="false"/>
          <w:bCs/>
          <w:color w:val="auto"/>
          <w:sz w:val="24"/>
          <w:szCs w:val="24"/>
        </w:rPr>
        <w:t xml:space="preserve"> г.</w:t>
      </w:r>
      <w:r>
        <w:rPr>
          <w:rFonts w:ascii="Times New Roman" w:hAnsi="Times New Roman"/>
          <w:b w:val="false"/>
          <w:color w:val="auto"/>
          <w:sz w:val="24"/>
          <w:szCs w:val="24"/>
        </w:rPr>
        <w:t xml:space="preserve"> ), засчитывается в счет оплаты стоимости Имущества.  </w:t>
      </w:r>
    </w:p>
    <w:p>
      <w:pPr>
        <w:pStyle w:val="Normal"/>
        <w:ind w:firstLine="708"/>
        <w:jc w:val="both"/>
        <w:rPr>
          <w:color w:val="auto"/>
          <w:sz w:val="24"/>
          <w:szCs w:val="24"/>
        </w:rPr>
      </w:pPr>
      <w:r>
        <w:rPr>
          <w:color w:val="auto"/>
          <w:sz w:val="24"/>
          <w:szCs w:val="24"/>
        </w:rPr>
        <w:t>2.3. За вычетом суммы задатка Покупатель обязан уплатить за Имущество ________ (________) руб. на счет Продавца по следующим реквизитам:</w:t>
      </w:r>
    </w:p>
    <w:tbl>
      <w:tblPr>
        <w:tblW w:w="9214" w:type="dxa"/>
        <w:jc w:val="left"/>
        <w:tblInd w:w="109" w:type="dxa"/>
        <w:tblCellMar>
          <w:top w:w="0" w:type="dxa"/>
          <w:left w:w="108" w:type="dxa"/>
          <w:bottom w:w="0" w:type="dxa"/>
          <w:right w:w="108" w:type="dxa"/>
        </w:tblCellMar>
        <w:tblLook w:noVBand="1" w:val="04a0" w:noHBand="0" w:lastColumn="0" w:firstColumn="1" w:lastRow="0" w:firstRow="1"/>
      </w:tblPr>
      <w:tblGrid>
        <w:gridCol w:w="3401"/>
        <w:gridCol w:w="5812"/>
      </w:tblGrid>
      <w:tr>
        <w:trPr/>
        <w:tc>
          <w:tcPr>
            <w:tcW w:w="3401" w:type="dxa"/>
            <w:tcBorders/>
          </w:tcPr>
          <w:p>
            <w:pPr>
              <w:pStyle w:val="ListParagraph"/>
              <w:spacing w:lineRule="auto" w:line="240" w:beforeAutospacing="0" w:before="0" w:afterAutospacing="0" w:after="0"/>
              <w:ind w:left="0" w:hanging="0"/>
              <w:contextualSpacing/>
              <w:jc w:val="both"/>
              <w:rPr>
                <w:rFonts w:ascii="Times New Roman" w:hAnsi="Times New Roman"/>
                <w:sz w:val="24"/>
                <w:szCs w:val="24"/>
              </w:rPr>
            </w:pPr>
            <w:r>
              <w:rPr>
                <w:rFonts w:ascii="Times New Roman" w:hAnsi="Times New Roman"/>
                <w:sz w:val="24"/>
                <w:szCs w:val="24"/>
              </w:rPr>
              <w:t>Банк получателя:</w:t>
            </w:r>
          </w:p>
        </w:tc>
        <w:tc>
          <w:tcPr>
            <w:tcW w:w="5812" w:type="dxa"/>
            <w:tcBorders/>
          </w:tcPr>
          <w:p>
            <w:pPr>
              <w:pStyle w:val="ListParagraph"/>
              <w:spacing w:lineRule="auto" w:line="240" w:before="0" w:after="0"/>
              <w:ind w:left="0" w:firstLine="34"/>
              <w:contextualSpacing/>
              <w:jc w:val="both"/>
              <w:rPr>
                <w:rFonts w:ascii="Times New Roman" w:hAnsi="Times New Roman"/>
                <w:sz w:val="24"/>
                <w:szCs w:val="24"/>
              </w:rPr>
            </w:pPr>
            <w:r>
              <w:rPr>
                <w:rFonts w:ascii="Times New Roman" w:hAnsi="Times New Roman"/>
                <w:spacing w:val="-4"/>
                <w:sz w:val="24"/>
                <w:szCs w:val="24"/>
              </w:rPr>
              <w:t>ОКЦ № 4 ЮГУ Банка России // УФК по Волгоградской</w:t>
            </w:r>
            <w:r>
              <w:rPr>
                <w:rFonts w:ascii="Times New Roman" w:hAnsi="Times New Roman"/>
                <w:sz w:val="24"/>
                <w:szCs w:val="24"/>
              </w:rPr>
              <w:t xml:space="preserve"> области г.Волгоград</w:t>
            </w:r>
          </w:p>
        </w:tc>
      </w:tr>
      <w:tr>
        <w:trPr/>
        <w:tc>
          <w:tcPr>
            <w:tcW w:w="3401" w:type="dxa"/>
            <w:tcBorders/>
          </w:tcPr>
          <w:p>
            <w:pPr>
              <w:pStyle w:val="ListParagraph"/>
              <w:spacing w:lineRule="auto" w:line="240" w:before="0" w:after="0"/>
              <w:ind w:left="0" w:hanging="0"/>
              <w:contextualSpacing/>
              <w:jc w:val="both"/>
              <w:rPr>
                <w:rFonts w:ascii="Times New Roman" w:hAnsi="Times New Roman"/>
                <w:sz w:val="24"/>
                <w:szCs w:val="24"/>
              </w:rPr>
            </w:pPr>
            <w:r>
              <w:rPr>
                <w:rFonts w:ascii="Times New Roman" w:hAnsi="Times New Roman"/>
                <w:sz w:val="24"/>
                <w:szCs w:val="24"/>
              </w:rPr>
              <w:t xml:space="preserve">БИК </w:t>
            </w:r>
          </w:p>
        </w:tc>
        <w:tc>
          <w:tcPr>
            <w:tcW w:w="5812" w:type="dxa"/>
            <w:tcBorders/>
          </w:tcPr>
          <w:p>
            <w:pPr>
              <w:pStyle w:val="ListParagraph"/>
              <w:spacing w:lineRule="auto" w:line="240" w:before="0" w:after="0"/>
              <w:ind w:left="0" w:firstLine="34"/>
              <w:contextualSpacing/>
              <w:jc w:val="both"/>
              <w:rPr>
                <w:rFonts w:ascii="Times New Roman" w:hAnsi="Times New Roman"/>
                <w:sz w:val="24"/>
                <w:szCs w:val="24"/>
              </w:rPr>
            </w:pPr>
            <w:r>
              <w:rPr>
                <w:rFonts w:ascii="Times New Roman" w:hAnsi="Times New Roman"/>
                <w:sz w:val="24"/>
                <w:szCs w:val="24"/>
              </w:rPr>
              <w:t>011806101</w:t>
            </w:r>
          </w:p>
        </w:tc>
      </w:tr>
      <w:tr>
        <w:trPr/>
        <w:tc>
          <w:tcPr>
            <w:tcW w:w="3401" w:type="dxa"/>
            <w:tcBorders/>
          </w:tcPr>
          <w:p>
            <w:pPr>
              <w:pStyle w:val="ListParagraph"/>
              <w:spacing w:lineRule="auto" w:line="240" w:before="0" w:after="0"/>
              <w:ind w:left="0" w:hanging="0"/>
              <w:contextualSpacing/>
              <w:jc w:val="both"/>
              <w:rPr>
                <w:rFonts w:ascii="Times New Roman" w:hAnsi="Times New Roman"/>
                <w:sz w:val="24"/>
                <w:szCs w:val="24"/>
              </w:rPr>
            </w:pPr>
            <w:r>
              <w:rPr>
                <w:rFonts w:ascii="Times New Roman" w:hAnsi="Times New Roman"/>
                <w:sz w:val="24"/>
                <w:szCs w:val="24"/>
              </w:rPr>
              <w:t>Счет банка получателя №</w:t>
            </w:r>
          </w:p>
        </w:tc>
        <w:tc>
          <w:tcPr>
            <w:tcW w:w="5812" w:type="dxa"/>
            <w:tcBorders/>
          </w:tcPr>
          <w:p>
            <w:pPr>
              <w:pStyle w:val="ListParagraph"/>
              <w:spacing w:lineRule="auto" w:line="240" w:before="0" w:after="0"/>
              <w:ind w:left="0" w:firstLine="34"/>
              <w:contextualSpacing/>
              <w:jc w:val="both"/>
              <w:rPr>
                <w:rFonts w:ascii="Times New Roman" w:hAnsi="Times New Roman"/>
                <w:sz w:val="24"/>
                <w:szCs w:val="24"/>
              </w:rPr>
            </w:pPr>
            <w:r>
              <w:rPr>
                <w:rFonts w:ascii="Times New Roman" w:hAnsi="Times New Roman"/>
                <w:sz w:val="24"/>
                <w:szCs w:val="24"/>
              </w:rPr>
              <w:t>40102810445370000021</w:t>
            </w:r>
          </w:p>
        </w:tc>
      </w:tr>
      <w:tr>
        <w:trPr/>
        <w:tc>
          <w:tcPr>
            <w:tcW w:w="3401" w:type="dxa"/>
            <w:tcBorders/>
          </w:tcPr>
          <w:p>
            <w:pPr>
              <w:pStyle w:val="ListParagraph"/>
              <w:spacing w:lineRule="auto" w:line="240" w:before="0" w:after="0"/>
              <w:ind w:left="0" w:hanging="0"/>
              <w:contextualSpacing/>
              <w:jc w:val="both"/>
              <w:rPr>
                <w:rFonts w:ascii="Times New Roman" w:hAnsi="Times New Roman"/>
                <w:sz w:val="24"/>
                <w:szCs w:val="24"/>
              </w:rPr>
            </w:pPr>
            <w:r>
              <w:rPr>
                <w:rFonts w:ascii="Times New Roman" w:hAnsi="Times New Roman"/>
                <w:sz w:val="24"/>
                <w:szCs w:val="24"/>
              </w:rPr>
              <w:t>Получатель:</w:t>
            </w:r>
          </w:p>
        </w:tc>
        <w:tc>
          <w:tcPr>
            <w:tcW w:w="5812" w:type="dxa"/>
            <w:tcBorders/>
          </w:tcPr>
          <w:p>
            <w:pPr>
              <w:pStyle w:val="ListParagraph"/>
              <w:spacing w:lineRule="auto" w:line="240" w:before="0" w:after="0"/>
              <w:ind w:left="0" w:firstLine="34"/>
              <w:contextualSpacing/>
              <w:jc w:val="both"/>
              <w:rPr>
                <w:rFonts w:ascii="Times New Roman" w:hAnsi="Times New Roman"/>
                <w:sz w:val="24"/>
                <w:szCs w:val="24"/>
              </w:rPr>
            </w:pPr>
            <w:r>
              <w:rPr>
                <w:rFonts w:ascii="Times New Roman" w:hAnsi="Times New Roman"/>
                <w:sz w:val="24"/>
                <w:szCs w:val="24"/>
              </w:rPr>
              <w:t>комитет финансов Волгоградской области (Облкомимущество)</w:t>
            </w:r>
          </w:p>
        </w:tc>
      </w:tr>
      <w:tr>
        <w:trPr/>
        <w:tc>
          <w:tcPr>
            <w:tcW w:w="3401" w:type="dxa"/>
            <w:tcBorders/>
          </w:tcPr>
          <w:p>
            <w:pPr>
              <w:pStyle w:val="ListParagraph"/>
              <w:spacing w:lineRule="auto" w:line="240" w:before="0" w:after="0"/>
              <w:ind w:left="0" w:hanging="0"/>
              <w:contextualSpacing/>
              <w:jc w:val="both"/>
              <w:rPr>
                <w:rFonts w:ascii="Times New Roman" w:hAnsi="Times New Roman"/>
                <w:sz w:val="24"/>
                <w:szCs w:val="24"/>
              </w:rPr>
            </w:pPr>
            <w:r>
              <w:rPr>
                <w:rFonts w:ascii="Times New Roman" w:hAnsi="Times New Roman"/>
                <w:sz w:val="24"/>
                <w:szCs w:val="24"/>
              </w:rPr>
              <w:t>Лицевой счет:</w:t>
            </w:r>
          </w:p>
        </w:tc>
        <w:tc>
          <w:tcPr>
            <w:tcW w:w="5812" w:type="dxa"/>
            <w:tcBorders/>
          </w:tcPr>
          <w:p>
            <w:pPr>
              <w:pStyle w:val="ListParagraph"/>
              <w:spacing w:lineRule="auto" w:line="240" w:before="0" w:after="0"/>
              <w:ind w:left="0" w:firstLine="34"/>
              <w:contextualSpacing/>
              <w:jc w:val="both"/>
              <w:rPr>
                <w:rFonts w:ascii="Times New Roman" w:hAnsi="Times New Roman"/>
                <w:sz w:val="24"/>
                <w:szCs w:val="24"/>
              </w:rPr>
            </w:pPr>
            <w:r>
              <w:rPr>
                <w:rFonts w:ascii="Times New Roman" w:hAnsi="Times New Roman"/>
                <w:sz w:val="24"/>
                <w:szCs w:val="24"/>
              </w:rPr>
              <w:t>05523005340</w:t>
            </w:r>
          </w:p>
        </w:tc>
      </w:tr>
      <w:tr>
        <w:trPr/>
        <w:tc>
          <w:tcPr>
            <w:tcW w:w="3401" w:type="dxa"/>
            <w:tcBorders/>
          </w:tcPr>
          <w:p>
            <w:pPr>
              <w:pStyle w:val="ListParagraph"/>
              <w:spacing w:lineRule="auto" w:line="240" w:before="0" w:after="0"/>
              <w:ind w:left="0" w:hanging="0"/>
              <w:contextualSpacing/>
              <w:jc w:val="both"/>
              <w:rPr>
                <w:rFonts w:ascii="Times New Roman" w:hAnsi="Times New Roman"/>
                <w:sz w:val="24"/>
                <w:szCs w:val="24"/>
              </w:rPr>
            </w:pPr>
            <w:r>
              <w:rPr>
                <w:rFonts w:ascii="Times New Roman" w:hAnsi="Times New Roman"/>
                <w:sz w:val="24"/>
                <w:szCs w:val="24"/>
              </w:rPr>
              <w:t>ИНН</w:t>
            </w:r>
          </w:p>
        </w:tc>
        <w:tc>
          <w:tcPr>
            <w:tcW w:w="5812" w:type="dxa"/>
            <w:tcBorders/>
          </w:tcPr>
          <w:p>
            <w:pPr>
              <w:pStyle w:val="ListParagraph"/>
              <w:spacing w:lineRule="auto" w:line="240" w:before="0" w:after="0"/>
              <w:ind w:left="0" w:firstLine="34"/>
              <w:contextualSpacing/>
              <w:jc w:val="both"/>
              <w:rPr>
                <w:rFonts w:ascii="Times New Roman" w:hAnsi="Times New Roman"/>
                <w:sz w:val="24"/>
                <w:szCs w:val="24"/>
              </w:rPr>
            </w:pPr>
            <w:r>
              <w:rPr>
                <w:rFonts w:ascii="Times New Roman" w:hAnsi="Times New Roman"/>
                <w:sz w:val="24"/>
                <w:szCs w:val="24"/>
              </w:rPr>
              <w:t>3444054540</w:t>
            </w:r>
          </w:p>
        </w:tc>
      </w:tr>
      <w:tr>
        <w:trPr/>
        <w:tc>
          <w:tcPr>
            <w:tcW w:w="3401" w:type="dxa"/>
            <w:tcBorders/>
          </w:tcPr>
          <w:p>
            <w:pPr>
              <w:pStyle w:val="ListParagraph"/>
              <w:spacing w:lineRule="auto" w:line="240" w:before="0" w:after="0"/>
              <w:ind w:left="0" w:hanging="0"/>
              <w:contextualSpacing/>
              <w:jc w:val="both"/>
              <w:rPr>
                <w:rFonts w:ascii="Times New Roman" w:hAnsi="Times New Roman"/>
                <w:sz w:val="24"/>
                <w:szCs w:val="24"/>
              </w:rPr>
            </w:pPr>
            <w:r>
              <w:rPr>
                <w:rFonts w:ascii="Times New Roman" w:hAnsi="Times New Roman"/>
                <w:sz w:val="24"/>
                <w:szCs w:val="24"/>
              </w:rPr>
              <w:t>КПП</w:t>
            </w:r>
          </w:p>
        </w:tc>
        <w:tc>
          <w:tcPr>
            <w:tcW w:w="5812" w:type="dxa"/>
            <w:tcBorders/>
          </w:tcPr>
          <w:p>
            <w:pPr>
              <w:pStyle w:val="ListParagraph"/>
              <w:spacing w:lineRule="auto" w:line="240" w:before="0" w:after="0"/>
              <w:ind w:left="0" w:firstLine="34"/>
              <w:contextualSpacing/>
              <w:jc w:val="both"/>
              <w:rPr>
                <w:rFonts w:ascii="Times New Roman" w:hAnsi="Times New Roman"/>
                <w:sz w:val="24"/>
                <w:szCs w:val="24"/>
              </w:rPr>
            </w:pPr>
            <w:r>
              <w:rPr>
                <w:rFonts w:ascii="Times New Roman" w:hAnsi="Times New Roman"/>
                <w:sz w:val="24"/>
                <w:szCs w:val="24"/>
              </w:rPr>
              <w:t>344401001</w:t>
            </w:r>
          </w:p>
        </w:tc>
      </w:tr>
      <w:tr>
        <w:trPr/>
        <w:tc>
          <w:tcPr>
            <w:tcW w:w="3401" w:type="dxa"/>
            <w:tcBorders/>
          </w:tcPr>
          <w:p>
            <w:pPr>
              <w:pStyle w:val="ListParagraph"/>
              <w:spacing w:lineRule="auto" w:line="240" w:before="0" w:after="0"/>
              <w:ind w:left="0" w:hanging="0"/>
              <w:contextualSpacing/>
              <w:jc w:val="both"/>
              <w:rPr>
                <w:rFonts w:ascii="Times New Roman" w:hAnsi="Times New Roman"/>
                <w:sz w:val="24"/>
                <w:szCs w:val="24"/>
              </w:rPr>
            </w:pPr>
            <w:r>
              <w:rPr>
                <w:rFonts w:ascii="Times New Roman" w:hAnsi="Times New Roman"/>
                <w:sz w:val="24"/>
                <w:szCs w:val="24"/>
              </w:rPr>
              <w:t>Расчетный счет №</w:t>
            </w:r>
          </w:p>
        </w:tc>
        <w:tc>
          <w:tcPr>
            <w:tcW w:w="5812" w:type="dxa"/>
            <w:tcBorders/>
          </w:tcPr>
          <w:p>
            <w:pPr>
              <w:pStyle w:val="ListParagraph"/>
              <w:spacing w:lineRule="auto" w:line="240" w:before="0" w:after="0"/>
              <w:ind w:left="0" w:firstLine="34"/>
              <w:contextualSpacing/>
              <w:jc w:val="both"/>
              <w:rPr>
                <w:rFonts w:ascii="Times New Roman" w:hAnsi="Times New Roman"/>
                <w:sz w:val="24"/>
                <w:szCs w:val="24"/>
              </w:rPr>
            </w:pPr>
            <w:r>
              <w:rPr>
                <w:rFonts w:ascii="Times New Roman" w:hAnsi="Times New Roman"/>
                <w:sz w:val="24"/>
                <w:szCs w:val="24"/>
              </w:rPr>
              <w:t>03222643180000002900</w:t>
            </w:r>
          </w:p>
        </w:tc>
      </w:tr>
      <w:tr>
        <w:trPr/>
        <w:tc>
          <w:tcPr>
            <w:tcW w:w="3401" w:type="dxa"/>
            <w:tcBorders/>
          </w:tcPr>
          <w:p>
            <w:pPr>
              <w:pStyle w:val="ListParagraph"/>
              <w:spacing w:lineRule="auto" w:line="240" w:before="0" w:after="0"/>
              <w:ind w:left="0" w:hanging="0"/>
              <w:contextualSpacing/>
              <w:jc w:val="both"/>
              <w:rPr>
                <w:rFonts w:ascii="Times New Roman" w:hAnsi="Times New Roman"/>
                <w:sz w:val="24"/>
                <w:szCs w:val="24"/>
              </w:rPr>
            </w:pPr>
            <w:r>
              <w:rPr>
                <w:rFonts w:ascii="Times New Roman" w:hAnsi="Times New Roman"/>
                <w:sz w:val="24"/>
                <w:szCs w:val="24"/>
              </w:rPr>
              <w:t>КБК</w:t>
            </w:r>
          </w:p>
        </w:tc>
        <w:tc>
          <w:tcPr>
            <w:tcW w:w="5812" w:type="dxa"/>
            <w:tcBorders/>
          </w:tcPr>
          <w:p>
            <w:pPr>
              <w:pStyle w:val="ListParagraph"/>
              <w:spacing w:lineRule="auto" w:line="240" w:before="0" w:after="0"/>
              <w:ind w:left="0" w:firstLine="34"/>
              <w:contextualSpacing/>
              <w:jc w:val="both"/>
              <w:rPr>
                <w:rFonts w:ascii="Times New Roman" w:hAnsi="Times New Roman"/>
                <w:sz w:val="24"/>
                <w:szCs w:val="24"/>
              </w:rPr>
            </w:pPr>
            <w:r>
              <w:rPr>
                <w:rFonts w:ascii="Times New Roman" w:hAnsi="Times New Roman"/>
                <w:sz w:val="24"/>
                <w:szCs w:val="24"/>
              </w:rPr>
              <w:t xml:space="preserve">818 000 00000 00 0000 000  </w:t>
            </w:r>
          </w:p>
        </w:tc>
      </w:tr>
      <w:tr>
        <w:trPr/>
        <w:tc>
          <w:tcPr>
            <w:tcW w:w="3401" w:type="dxa"/>
            <w:tcBorders/>
          </w:tcPr>
          <w:p>
            <w:pPr>
              <w:pStyle w:val="ListParagraph"/>
              <w:spacing w:lineRule="auto" w:line="240" w:before="0" w:after="0"/>
              <w:ind w:left="0" w:hanging="0"/>
              <w:contextualSpacing/>
              <w:jc w:val="both"/>
              <w:rPr>
                <w:rFonts w:ascii="Times New Roman" w:hAnsi="Times New Roman"/>
                <w:sz w:val="24"/>
                <w:szCs w:val="24"/>
              </w:rPr>
            </w:pPr>
            <w:r>
              <w:rPr>
                <w:rFonts w:ascii="Times New Roman" w:hAnsi="Times New Roman"/>
                <w:sz w:val="24"/>
                <w:szCs w:val="24"/>
              </w:rPr>
              <w:t>ОКТМО</w:t>
            </w:r>
          </w:p>
        </w:tc>
        <w:tc>
          <w:tcPr>
            <w:tcW w:w="5812" w:type="dxa"/>
            <w:tcBorders/>
          </w:tcPr>
          <w:p>
            <w:pPr>
              <w:pStyle w:val="ListParagraph"/>
              <w:spacing w:lineRule="auto" w:line="240" w:before="0" w:after="0"/>
              <w:ind w:left="0" w:firstLine="34"/>
              <w:contextualSpacing/>
              <w:jc w:val="both"/>
              <w:rPr>
                <w:rFonts w:ascii="Times New Roman" w:hAnsi="Times New Roman"/>
                <w:sz w:val="24"/>
                <w:szCs w:val="24"/>
              </w:rPr>
            </w:pPr>
            <w:r>
              <w:rPr>
                <w:rFonts w:ascii="Times New Roman" w:hAnsi="Times New Roman"/>
                <w:sz w:val="24"/>
                <w:szCs w:val="24"/>
              </w:rPr>
              <w:t>18701000</w:t>
            </w:r>
          </w:p>
        </w:tc>
      </w:tr>
      <w:tr>
        <w:trPr/>
        <w:tc>
          <w:tcPr>
            <w:tcW w:w="3401" w:type="dxa"/>
            <w:tcBorders/>
          </w:tcPr>
          <w:p>
            <w:pPr>
              <w:pStyle w:val="ListParagraph"/>
              <w:spacing w:lineRule="auto" w:line="240" w:before="0" w:after="0"/>
              <w:ind w:left="0" w:hanging="0"/>
              <w:contextualSpacing/>
              <w:jc w:val="both"/>
              <w:rPr>
                <w:rFonts w:ascii="Times New Roman" w:hAnsi="Times New Roman"/>
                <w:sz w:val="24"/>
                <w:szCs w:val="24"/>
              </w:rPr>
            </w:pPr>
            <w:r>
              <w:rPr>
                <w:rFonts w:ascii="Times New Roman" w:hAnsi="Times New Roman"/>
                <w:sz w:val="24"/>
                <w:szCs w:val="24"/>
              </w:rPr>
              <w:t>Назначение платежа:</w:t>
            </w:r>
          </w:p>
        </w:tc>
        <w:tc>
          <w:tcPr>
            <w:tcW w:w="5812" w:type="dxa"/>
            <w:tcBorders/>
          </w:tcPr>
          <w:p>
            <w:pPr>
              <w:pStyle w:val="ListParagraph"/>
              <w:spacing w:lineRule="auto" w:line="240" w:before="0" w:after="0"/>
              <w:ind w:left="0" w:firstLine="34"/>
              <w:contextualSpacing/>
              <w:jc w:val="both"/>
              <w:rPr>
                <w:rFonts w:ascii="Times New Roman" w:hAnsi="Times New Roman"/>
                <w:sz w:val="24"/>
                <w:szCs w:val="24"/>
              </w:rPr>
            </w:pPr>
            <w:r>
              <w:rPr>
                <w:rFonts w:ascii="Times New Roman" w:hAnsi="Times New Roman"/>
                <w:sz w:val="24"/>
                <w:szCs w:val="24"/>
              </w:rPr>
              <w:t xml:space="preserve">Оплата  по договору купли-продажи объекта незавершенного строительства № _____ </w:t>
              <w:br/>
              <w:t>от  ДД/ММ/ГГГГ</w:t>
            </w:r>
          </w:p>
        </w:tc>
      </w:tr>
    </w:tbl>
    <w:p>
      <w:pPr>
        <w:pStyle w:val="Normal"/>
        <w:ind w:firstLine="708"/>
        <w:jc w:val="both"/>
        <w:rPr>
          <w:color w:val="auto"/>
          <w:sz w:val="24"/>
          <w:szCs w:val="24"/>
        </w:rPr>
      </w:pPr>
      <w:r>
        <w:rPr>
          <w:color w:val="auto"/>
          <w:spacing w:val="0"/>
          <w:sz w:val="24"/>
          <w:szCs w:val="24"/>
        </w:rPr>
        <w:t>2.4. Оплата суммы, предусмотренной пунктом 2.3 настоящего Договора, производится Покупателем не позднее 10 календарных дней со дня подписания настоящего Договора. Обязательство по оплате считается исполненным со дня поступления денежных средств на счет Продавца, указанный в настоящем Договоре.</w:t>
      </w:r>
    </w:p>
    <w:p>
      <w:pPr>
        <w:pStyle w:val="Normal"/>
        <w:ind w:firstLine="708"/>
        <w:jc w:val="both"/>
        <w:rPr>
          <w:color w:val="auto"/>
          <w:sz w:val="24"/>
          <w:szCs w:val="24"/>
        </w:rPr>
      </w:pPr>
      <w:r>
        <w:rPr>
          <w:color w:val="auto"/>
          <w:sz w:val="24"/>
          <w:szCs w:val="24"/>
        </w:rPr>
        <w:t>2.5. 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2.3, 2.4 настоящего Договора.</w:t>
      </w:r>
    </w:p>
    <w:p>
      <w:pPr>
        <w:pStyle w:val="Normal"/>
        <w:ind w:firstLine="708"/>
        <w:jc w:val="both"/>
        <w:rPr>
          <w:color w:val="auto"/>
          <w:sz w:val="24"/>
          <w:szCs w:val="24"/>
        </w:rPr>
      </w:pPr>
      <w:r>
        <w:rPr>
          <w:color w:val="auto"/>
          <w:sz w:val="24"/>
          <w:szCs w:val="24"/>
        </w:rPr>
        <w:t>2.6. В случае неуплаты Покупателем выкупной цены в установленный срок Договор считается незаключенным, результаты аукциона аннулируются организатором аукциона, задаток не возвращается.</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r>
    </w:p>
    <w:p>
      <w:pPr>
        <w:pStyle w:val="ConsPlusNormal1"/>
        <w:ind w:hanging="0"/>
        <w:jc w:val="center"/>
        <w:rPr>
          <w:rFonts w:ascii="Times New Roman" w:hAnsi="Times New Roman"/>
          <w:b/>
          <w:b/>
          <w:color w:val="auto"/>
          <w:sz w:val="24"/>
          <w:szCs w:val="24"/>
        </w:rPr>
      </w:pPr>
      <w:r>
        <w:rPr>
          <w:rFonts w:ascii="Times New Roman" w:hAnsi="Times New Roman"/>
          <w:b/>
          <w:color w:val="auto"/>
          <w:sz w:val="24"/>
          <w:szCs w:val="24"/>
        </w:rPr>
        <w:t>3. Переход права собственности на имущество</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3.1. Право собственности на Имущество, являющееся предметом настоящего Договора и указанное в пункте 1.1 Договора, возникает у Покупателя со дня его государственной регистрации в установленном порядке.</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3.2. Риск случайного повреждения Имущества переходит к Покупателю с момента подписания акта приема-передачи Имущества.</w:t>
      </w:r>
    </w:p>
    <w:p>
      <w:pPr>
        <w:pStyle w:val="ConsPlusNormal1"/>
        <w:ind w:firstLine="709"/>
        <w:jc w:val="both"/>
        <w:rPr>
          <w:rFonts w:ascii="Times New Roman" w:hAnsi="Times New Roman"/>
          <w:color w:val="FF0000"/>
          <w:sz w:val="24"/>
          <w:szCs w:val="24"/>
        </w:rPr>
      </w:pPr>
      <w:r>
        <w:rPr>
          <w:rFonts w:ascii="Times New Roman" w:hAnsi="Times New Roman"/>
          <w:color w:val="auto"/>
          <w:sz w:val="24"/>
          <w:szCs w:val="24"/>
        </w:rPr>
        <w:t>3.3. До государственной регистрации права собственности Покупатель осуществляет</w:t>
      </w:r>
      <w:r>
        <w:rPr>
          <w:rFonts w:ascii="Times New Roman" w:hAnsi="Times New Roman"/>
          <w:sz w:val="24"/>
          <w:szCs w:val="24"/>
        </w:rPr>
        <w:t xml:space="preserve"> полномочия собственника Имущества в части владения и пользования</w:t>
        <w:br/>
        <w:t>им после передачи Имущества по акту приема-передачи</w:t>
      </w:r>
      <w:r>
        <w:rPr>
          <w:rFonts w:ascii="Times New Roman" w:hAnsi="Times New Roman"/>
          <w:color w:val="FF0000"/>
          <w:sz w:val="24"/>
          <w:szCs w:val="24"/>
        </w:rPr>
        <w:t>.</w:t>
      </w:r>
    </w:p>
    <w:p>
      <w:pPr>
        <w:pStyle w:val="ConsPlusNormal1"/>
        <w:ind w:firstLine="709"/>
        <w:jc w:val="center"/>
        <w:rPr>
          <w:rFonts w:ascii="Times New Roman" w:hAnsi="Times New Roman"/>
          <w:b/>
          <w:b/>
          <w:color w:val="auto"/>
          <w:sz w:val="24"/>
          <w:szCs w:val="24"/>
        </w:rPr>
      </w:pPr>
      <w:r>
        <w:rPr>
          <w:rFonts w:ascii="Times New Roman" w:hAnsi="Times New Roman"/>
          <w:b/>
          <w:color w:val="auto"/>
          <w:sz w:val="24"/>
          <w:szCs w:val="24"/>
        </w:rPr>
      </w:r>
    </w:p>
    <w:p>
      <w:pPr>
        <w:pStyle w:val="ConsPlusNormal1"/>
        <w:ind w:hanging="0"/>
        <w:jc w:val="center"/>
        <w:rPr>
          <w:rFonts w:ascii="Times New Roman" w:hAnsi="Times New Roman"/>
          <w:b/>
          <w:b/>
          <w:color w:val="auto"/>
          <w:sz w:val="24"/>
          <w:szCs w:val="24"/>
        </w:rPr>
      </w:pPr>
      <w:r>
        <w:rPr>
          <w:rFonts w:ascii="Times New Roman" w:hAnsi="Times New Roman"/>
          <w:b/>
          <w:color w:val="auto"/>
          <w:sz w:val="24"/>
          <w:szCs w:val="24"/>
        </w:rPr>
        <w:t>4. Права и обязанности Сторон</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4.1. Покупатель обязуется:</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4.1.1. </w:t>
      </w:r>
      <w:r>
        <w:rPr>
          <w:rFonts w:ascii="Times New Roman" w:hAnsi="Times New Roman"/>
          <w:sz w:val="24"/>
          <w:szCs w:val="24"/>
        </w:rPr>
        <w:t xml:space="preserve">Произвести оплату приобретаемого Имущества в порядке и сроки, установленные разделом 2 </w:t>
      </w:r>
      <w:r>
        <w:rPr>
          <w:rFonts w:ascii="Times New Roman" w:hAnsi="Times New Roman"/>
          <w:color w:val="auto"/>
          <w:sz w:val="24"/>
          <w:szCs w:val="24"/>
        </w:rPr>
        <w:t xml:space="preserve">настоящего Договора. </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 xml:space="preserve">4.1.2. Оплатить не позднее 10 календарных дней со дня подписания настоящего Договора государственную пошлину за государственную регистрацию права собственности Покупателя на Имущество, указанное в пункте 1.1 Договора, в размере, установленном действующим законодательством Российской Федерации. </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4.1.3. Принять Имущество по акту приема-передачи не позднее чем через</w:t>
        <w:br/>
        <w:t>30 календарных дней после дня полной оплаты Имущества.</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4.2. Продавец обязуется:</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4.2.1. После получения выписки банка о зачислении на лицевой счет Продавца денежных средств, предусмотренных разделом 2 настоящего Договора, обеспечить передачу Имущества Покупателю по акту приема-передачи не позднее чем через</w:t>
        <w:br/>
        <w:t>30 календарных дней после дня полной оплаты Имущества.</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4.2.2. После выполнения Покупателем условий, предусмотренных пунктами 4.1.1</w:t>
        <w:br/>
        <w:t>и 4.1.2 настоящего Договора, направить в орган, осуществляющий государственный кадастровый учет и государственную регистрацию прав, заявление о государственной регистрации права и прилагаемые к нему документы в отношении Имущества,</w:t>
        <w:br/>
        <w:t>указанного в пункте 1.1 Договора, в порядке, установленном Федеральным законом</w:t>
        <w:br/>
        <w:t>от 13 июля 2015 г. № 218-ФЗ "О государственной регистрации недвижимости".</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r>
    </w:p>
    <w:p>
      <w:pPr>
        <w:pStyle w:val="ConsPlusNormal1"/>
        <w:ind w:hanging="0"/>
        <w:jc w:val="center"/>
        <w:rPr>
          <w:rFonts w:ascii="Times New Roman" w:hAnsi="Times New Roman"/>
          <w:b/>
          <w:b/>
          <w:color w:val="auto"/>
          <w:sz w:val="24"/>
          <w:szCs w:val="24"/>
        </w:rPr>
      </w:pPr>
      <w:r>
        <w:rPr>
          <w:rFonts w:ascii="Times New Roman" w:hAnsi="Times New Roman"/>
          <w:b/>
          <w:color w:val="auto"/>
          <w:sz w:val="24"/>
          <w:szCs w:val="24"/>
        </w:rPr>
        <w:t>5. Ответственность Сторон</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 xml:space="preserve">5.1.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 и настоящим Договором. </w:t>
      </w:r>
    </w:p>
    <w:p>
      <w:pPr>
        <w:pStyle w:val="ConsPlusNormal1"/>
        <w:ind w:firstLine="709"/>
        <w:jc w:val="both"/>
        <w:rPr>
          <w:rFonts w:ascii="Times New Roman" w:hAnsi="Times New Roman"/>
          <w:color w:val="FF0000"/>
          <w:sz w:val="24"/>
          <w:szCs w:val="24"/>
        </w:rPr>
      </w:pPr>
      <w:r>
        <w:rPr>
          <w:rFonts w:ascii="Times New Roman" w:hAnsi="Times New Roman"/>
          <w:color w:val="auto"/>
          <w:sz w:val="24"/>
          <w:szCs w:val="24"/>
        </w:rPr>
        <w:t>5.2.</w:t>
      </w:r>
      <w:r>
        <w:rPr>
          <w:rFonts w:ascii="Times New Roman" w:hAnsi="Times New Roman"/>
          <w:color w:val="FF0000"/>
          <w:sz w:val="24"/>
          <w:szCs w:val="24"/>
        </w:rPr>
        <w:t> </w:t>
      </w:r>
      <w:r>
        <w:rPr>
          <w:rFonts w:ascii="Times New Roman" w:hAnsi="Times New Roman"/>
          <w:color w:val="auto"/>
          <w:sz w:val="24"/>
          <w:szCs w:val="24"/>
        </w:rPr>
        <w:t>В случае уклонения Покупателя от фактического принятия Имущества</w:t>
        <w:br/>
        <w:t>в установленный настоящим Договором срок, он уплачивает Продавцу пеню</w:t>
        <w:br/>
        <w:t>в размере 0,5% от общей стоимости Имущества за каждый день просрочки,</w:t>
        <w:br/>
        <w:t>но не более 50% от этой стоимости.</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5.3. В случае если Покупатель отказывается от принятия Имущества,</w:t>
        <w:br/>
        <w:t>настоящий Договор купли-продажи прекращает свое действие с момента уведомления Покупателем Продавца об отказе в получении Имущества, при этом Покупатель выплачивает Продавцу штраф в размере внесенного задатка.</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 Удержанная сумма денежных средств засчитывается в счет уплаты Покупателем штрафа за неисполнение обязанности по принятию Имущества.</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5.4. В случае, указанном в пункте 5.3 настоящего Договора, оформление Сторонами дополнительного соглашения о прекращении действия настоящего договора не требуется.</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r>
    </w:p>
    <w:p>
      <w:pPr>
        <w:pStyle w:val="ConsPlusNormal1"/>
        <w:ind w:hanging="0"/>
        <w:jc w:val="center"/>
        <w:rPr>
          <w:rFonts w:ascii="Times New Roman" w:hAnsi="Times New Roman"/>
          <w:b/>
          <w:b/>
          <w:color w:val="auto"/>
          <w:sz w:val="24"/>
          <w:szCs w:val="24"/>
        </w:rPr>
      </w:pPr>
      <w:r>
        <w:rPr>
          <w:rFonts w:ascii="Times New Roman" w:hAnsi="Times New Roman"/>
          <w:b/>
          <w:color w:val="auto"/>
          <w:sz w:val="24"/>
          <w:szCs w:val="24"/>
        </w:rPr>
        <w:t>6. Прочие условия</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6.1. Настоящий Договор вступает в силу со дня его подписания Сторонами.</w:t>
      </w:r>
    </w:p>
    <w:p>
      <w:pPr>
        <w:pStyle w:val="ConsPlusNormal1"/>
        <w:ind w:firstLine="709"/>
        <w:jc w:val="both"/>
        <w:rPr>
          <w:rFonts w:ascii="Times New Roman" w:hAnsi="Times New Roman"/>
          <w:sz w:val="24"/>
          <w:szCs w:val="24"/>
        </w:rPr>
      </w:pPr>
      <w:r>
        <w:rPr>
          <w:rFonts w:ascii="Times New Roman" w:hAnsi="Times New Roman"/>
          <w:sz w:val="24"/>
          <w:szCs w:val="24"/>
        </w:rPr>
        <w:t>6.2. Изменения к Договору оформляются дополнительными соглашениями, являющимися неотъемлемой частью настоящего Договора.</w:t>
      </w:r>
    </w:p>
    <w:p>
      <w:pPr>
        <w:pStyle w:val="ConsPlusNormal1"/>
        <w:ind w:firstLine="709"/>
        <w:jc w:val="both"/>
        <w:rPr>
          <w:rFonts w:ascii="Times New Roman" w:hAnsi="Times New Roman"/>
          <w:sz w:val="24"/>
          <w:szCs w:val="24"/>
        </w:rPr>
      </w:pPr>
      <w:r>
        <w:rPr>
          <w:rFonts w:ascii="Times New Roman" w:hAnsi="Times New Roman"/>
          <w:sz w:val="24"/>
          <w:szCs w:val="24"/>
        </w:rPr>
        <w:t>6.3. Изменения и дополнения условий настоящего Договора могут быть внесены</w:t>
        <w:br/>
        <w:t>по соглашению Сторон при соблюдении положений законодательства Российской Федерации.</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6.4. Споры и разногласия между Сторонами, возникающие при выполнении настоящего Договора, подлежат урегулированию путем переговоров с соблюдением положений действующего законодательства.</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Если соглашение между Сторонами не было достигнуто, споры и разногласия подлежат разрешению в судебном порядке по месту нахождения Продавца.</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6.5. Во всем остальном, что не предусмотрено настоящим Договором, Стороны руководствуются действующим законодательством.</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t>6.6.</w:t>
      </w:r>
      <w:r>
        <w:rPr>
          <w:rFonts w:ascii="Times New Roman" w:hAnsi="Times New Roman"/>
          <w:color w:val="FF0000"/>
          <w:sz w:val="24"/>
          <w:szCs w:val="24"/>
        </w:rPr>
        <w:t xml:space="preserve"> </w:t>
      </w:r>
      <w:r>
        <w:rPr>
          <w:rFonts w:ascii="Times New Roman" w:hAnsi="Times New Roman"/>
          <w:color w:val="auto"/>
          <w:sz w:val="24"/>
          <w:szCs w:val="24"/>
        </w:rPr>
        <w:t>Настоящий договор составлен в трех экземплярах, имеющих равную юридическую силу: по одному экземпляру для каждой из сторон и один экземпляр –</w:t>
        <w:br/>
        <w:t>для органа, осуществляющего государственную регистрацию прав на недвижимое имущество и сделок с ним.</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r>
    </w:p>
    <w:p>
      <w:pPr>
        <w:pStyle w:val="ConsPlusNormal1"/>
        <w:ind w:hanging="0"/>
        <w:jc w:val="center"/>
        <w:rPr>
          <w:rFonts w:ascii="Times New Roman" w:hAnsi="Times New Roman"/>
          <w:b/>
          <w:b/>
          <w:color w:val="auto"/>
          <w:sz w:val="24"/>
          <w:szCs w:val="24"/>
        </w:rPr>
      </w:pPr>
      <w:r>
        <w:rPr>
          <w:rFonts w:ascii="Times New Roman" w:hAnsi="Times New Roman"/>
          <w:b/>
          <w:color w:val="auto"/>
          <w:sz w:val="24"/>
          <w:szCs w:val="24"/>
        </w:rPr>
      </w:r>
    </w:p>
    <w:p>
      <w:pPr>
        <w:pStyle w:val="ConsPlusNormal1"/>
        <w:ind w:hanging="0"/>
        <w:jc w:val="center"/>
        <w:rPr>
          <w:rFonts w:ascii="Times New Roman" w:hAnsi="Times New Roman"/>
          <w:b/>
          <w:b/>
          <w:color w:val="auto"/>
          <w:sz w:val="24"/>
          <w:szCs w:val="24"/>
        </w:rPr>
      </w:pPr>
      <w:r>
        <w:rPr>
          <w:rFonts w:ascii="Times New Roman" w:hAnsi="Times New Roman"/>
          <w:b/>
          <w:color w:val="auto"/>
          <w:sz w:val="24"/>
          <w:szCs w:val="24"/>
        </w:rPr>
      </w:r>
    </w:p>
    <w:p>
      <w:pPr>
        <w:pStyle w:val="ConsPlusNormal1"/>
        <w:ind w:hanging="0"/>
        <w:jc w:val="center"/>
        <w:rPr>
          <w:rFonts w:ascii="Times New Roman" w:hAnsi="Times New Roman"/>
          <w:color w:val="auto"/>
          <w:sz w:val="24"/>
          <w:szCs w:val="24"/>
        </w:rPr>
      </w:pPr>
      <w:r>
        <w:rPr>
          <w:rFonts w:ascii="Times New Roman" w:hAnsi="Times New Roman"/>
          <w:b/>
          <w:color w:val="auto"/>
          <w:sz w:val="24"/>
          <w:szCs w:val="24"/>
        </w:rPr>
        <w:t>7. АДРЕСА, РЕКВИЗИТЫ И ПОДПИСИ СТОРОН</w:t>
      </w:r>
      <w:r>
        <w:rPr>
          <w:rFonts w:ascii="Times New Roman" w:hAnsi="Times New Roman"/>
          <w:color w:val="auto"/>
          <w:sz w:val="24"/>
          <w:szCs w:val="24"/>
        </w:rPr>
        <w:t>:</w:t>
      </w:r>
    </w:p>
    <w:p>
      <w:pPr>
        <w:pStyle w:val="ConsPlusNormal1"/>
        <w:ind w:firstLine="709"/>
        <w:jc w:val="both"/>
        <w:rPr>
          <w:rFonts w:ascii="Times New Roman" w:hAnsi="Times New Roman"/>
          <w:color w:val="auto"/>
          <w:sz w:val="24"/>
          <w:szCs w:val="24"/>
        </w:rPr>
      </w:pPr>
      <w:r>
        <w:rPr>
          <w:rFonts w:ascii="Times New Roman" w:hAnsi="Times New Roman"/>
          <w:color w:val="auto"/>
          <w:sz w:val="24"/>
          <w:szCs w:val="24"/>
        </w:rPr>
      </w:r>
    </w:p>
    <w:tbl>
      <w:tblPr>
        <w:tblW w:w="9344" w:type="dxa"/>
        <w:jc w:val="left"/>
        <w:tblInd w:w="0" w:type="dxa"/>
        <w:tblCellMar>
          <w:top w:w="0" w:type="dxa"/>
          <w:left w:w="108" w:type="dxa"/>
          <w:bottom w:w="0" w:type="dxa"/>
          <w:right w:w="108" w:type="dxa"/>
        </w:tblCellMar>
        <w:tblLook w:noVBand="1" w:val="04a0" w:noHBand="0" w:lastColumn="0" w:firstColumn="1" w:lastRow="0" w:firstRow="1"/>
      </w:tblPr>
      <w:tblGrid>
        <w:gridCol w:w="4684"/>
        <w:gridCol w:w="4659"/>
      </w:tblGrid>
      <w:tr>
        <w:trPr/>
        <w:tc>
          <w:tcPr>
            <w:tcW w:w="4684" w:type="dxa"/>
            <w:tcBorders/>
          </w:tcPr>
          <w:p>
            <w:pPr>
              <w:pStyle w:val="Normal"/>
              <w:spacing w:lineRule="auto" w:line="232"/>
              <w:jc w:val="center"/>
              <w:rPr>
                <w:color w:val="auto"/>
                <w:sz w:val="24"/>
                <w:szCs w:val="24"/>
              </w:rPr>
            </w:pPr>
            <w:r>
              <w:rPr>
                <w:b/>
                <w:color w:val="auto"/>
                <w:sz w:val="24"/>
                <w:szCs w:val="24"/>
              </w:rPr>
              <w:t>Продавец</w:t>
            </w:r>
          </w:p>
        </w:tc>
        <w:tc>
          <w:tcPr>
            <w:tcW w:w="4659" w:type="dxa"/>
            <w:tcBorders/>
          </w:tcPr>
          <w:p>
            <w:pPr>
              <w:pStyle w:val="Normal"/>
              <w:spacing w:lineRule="auto" w:line="232"/>
              <w:jc w:val="center"/>
              <w:rPr>
                <w:color w:val="auto"/>
                <w:sz w:val="24"/>
                <w:szCs w:val="24"/>
              </w:rPr>
            </w:pPr>
            <w:r>
              <w:rPr>
                <w:b/>
                <w:color w:val="auto"/>
                <w:sz w:val="24"/>
                <w:szCs w:val="24"/>
              </w:rPr>
              <w:t>Покупатель</w:t>
            </w:r>
          </w:p>
        </w:tc>
      </w:tr>
      <w:tr>
        <w:trPr/>
        <w:tc>
          <w:tcPr>
            <w:tcW w:w="4684" w:type="dxa"/>
            <w:tcBorders/>
          </w:tcPr>
          <w:p>
            <w:pPr>
              <w:pStyle w:val="Normal"/>
              <w:spacing w:lineRule="auto" w:line="232"/>
              <w:jc w:val="center"/>
              <w:rPr>
                <w:b/>
                <w:b/>
                <w:sz w:val="24"/>
                <w:szCs w:val="24"/>
              </w:rPr>
            </w:pPr>
            <w:r>
              <w:rPr>
                <w:b/>
                <w:sz w:val="24"/>
                <w:szCs w:val="24"/>
              </w:rPr>
            </w:r>
          </w:p>
        </w:tc>
        <w:tc>
          <w:tcPr>
            <w:tcW w:w="4659" w:type="dxa"/>
            <w:tcBorders/>
          </w:tcPr>
          <w:p>
            <w:pPr>
              <w:pStyle w:val="Normal"/>
              <w:spacing w:lineRule="auto" w:line="232"/>
              <w:jc w:val="center"/>
              <w:rPr>
                <w:b/>
                <w:b/>
                <w:sz w:val="24"/>
                <w:szCs w:val="24"/>
              </w:rPr>
            </w:pPr>
            <w:r>
              <w:rPr>
                <w:b/>
                <w:sz w:val="24"/>
                <w:szCs w:val="24"/>
              </w:rPr>
            </w:r>
          </w:p>
        </w:tc>
      </w:tr>
      <w:tr>
        <w:trPr/>
        <w:tc>
          <w:tcPr>
            <w:tcW w:w="4684" w:type="dxa"/>
            <w:tcBorders/>
          </w:tcPr>
          <w:p>
            <w:pPr>
              <w:pStyle w:val="Normal"/>
              <w:spacing w:lineRule="auto" w:line="232"/>
              <w:rPr>
                <w:b/>
                <w:b/>
                <w:sz w:val="24"/>
                <w:szCs w:val="24"/>
              </w:rPr>
            </w:pPr>
            <w:r>
              <w:rPr>
                <w:sz w:val="24"/>
                <w:szCs w:val="24"/>
              </w:rPr>
              <w:t>Комитет по управлению государственным имуществом Волгоградской области</w:t>
            </w:r>
            <w:r>
              <w:rPr>
                <w:b/>
                <w:sz w:val="24"/>
                <w:szCs w:val="24"/>
              </w:rPr>
              <w:t xml:space="preserve"> </w:t>
            </w:r>
          </w:p>
          <w:p>
            <w:pPr>
              <w:pStyle w:val="Normal"/>
              <w:spacing w:lineRule="auto" w:line="232"/>
              <w:rPr>
                <w:sz w:val="24"/>
                <w:szCs w:val="24"/>
              </w:rPr>
            </w:pPr>
            <w:r>
              <w:rPr>
                <w:sz w:val="24"/>
                <w:szCs w:val="24"/>
              </w:rPr>
            </w:r>
          </w:p>
          <w:p>
            <w:pPr>
              <w:pStyle w:val="Normal"/>
              <w:spacing w:lineRule="auto" w:line="232"/>
              <w:rPr>
                <w:sz w:val="24"/>
                <w:szCs w:val="24"/>
              </w:rPr>
            </w:pPr>
            <w:r>
              <w:rPr>
                <w:sz w:val="24"/>
                <w:szCs w:val="24"/>
              </w:rPr>
            </w:r>
          </w:p>
          <w:p>
            <w:pPr>
              <w:pStyle w:val="Normal"/>
              <w:spacing w:lineRule="auto" w:line="232"/>
              <w:rPr>
                <w:sz w:val="24"/>
                <w:szCs w:val="24"/>
              </w:rPr>
            </w:pPr>
            <w:r>
              <w:rPr>
                <w:sz w:val="24"/>
                <w:szCs w:val="24"/>
              </w:rPr>
            </w:r>
          </w:p>
          <w:p>
            <w:pPr>
              <w:pStyle w:val="Normal"/>
              <w:spacing w:lineRule="auto" w:line="232"/>
              <w:rPr>
                <w:sz w:val="24"/>
                <w:szCs w:val="24"/>
              </w:rPr>
            </w:pPr>
            <w:r>
              <w:rPr>
                <w:sz w:val="24"/>
                <w:szCs w:val="24"/>
              </w:rPr>
              <w:t>Юридический адрес: ул. Новороссийская, д. 15, Волгоград, 400066</w:t>
            </w:r>
          </w:p>
          <w:p>
            <w:pPr>
              <w:pStyle w:val="Style19"/>
              <w:spacing w:lineRule="auto" w:line="232"/>
              <w:ind w:firstLine="567"/>
              <w:rPr>
                <w:b w:val="false"/>
                <w:b w:val="false"/>
              </w:rPr>
            </w:pPr>
            <w:r>
              <w:rPr>
                <w:b w:val="false"/>
              </w:rPr>
            </w:r>
          </w:p>
          <w:p>
            <w:pPr>
              <w:pStyle w:val="Style19"/>
              <w:spacing w:lineRule="auto" w:line="232"/>
              <w:ind w:firstLine="567"/>
              <w:rPr>
                <w:b w:val="false"/>
                <w:b w:val="false"/>
              </w:rPr>
            </w:pPr>
            <w:r>
              <w:rPr>
                <w:b w:val="false"/>
              </w:rPr>
            </w:r>
          </w:p>
          <w:p>
            <w:pPr>
              <w:pStyle w:val="Style19"/>
              <w:spacing w:lineRule="auto" w:line="232"/>
              <w:rPr>
                <w:b w:val="false"/>
                <w:b w:val="false"/>
              </w:rPr>
            </w:pPr>
            <w:r>
              <w:rPr>
                <w:b w:val="false"/>
              </w:rPr>
              <w:t xml:space="preserve">ИНН 3444054540, КПП 344401001, </w:t>
            </w:r>
          </w:p>
          <w:p>
            <w:pPr>
              <w:pStyle w:val="Style19"/>
              <w:spacing w:lineRule="auto" w:line="232"/>
              <w:rPr>
                <w:b w:val="false"/>
                <w:b w:val="false"/>
              </w:rPr>
            </w:pPr>
            <w:r>
              <w:rPr>
                <w:b w:val="false"/>
              </w:rPr>
              <w:t>комитет финансов Волгоградской области  (Облкомимущество), л/с 03523005340</w:t>
            </w:r>
            <w:r>
              <w:rPr>
                <w:b w:val="false"/>
                <w:bCs/>
              </w:rPr>
              <w:t xml:space="preserve">; </w:t>
            </w:r>
            <w:r>
              <w:rPr>
                <w:b w:val="false"/>
              </w:rPr>
              <w:t xml:space="preserve">Номер счета: 03221643180000002900, </w:t>
            </w:r>
          </w:p>
          <w:p>
            <w:pPr>
              <w:pStyle w:val="Style19"/>
              <w:spacing w:lineRule="auto" w:line="232"/>
              <w:rPr>
                <w:b w:val="false"/>
                <w:b w:val="false"/>
                <w:bCs/>
              </w:rPr>
            </w:pPr>
            <w:r>
              <w:rPr>
                <w:b w:val="false"/>
                <w:bCs/>
              </w:rPr>
              <w:t>Наименование банка</w:t>
            </w:r>
            <w:r>
              <w:rPr>
                <w:b w:val="false"/>
              </w:rPr>
              <w:t xml:space="preserve">: </w:t>
            </w:r>
            <w:r>
              <w:rPr>
                <w:b w:val="false"/>
                <w:bCs/>
              </w:rPr>
              <w:t>ОКЦ № 4 ЮГУ Банка России // УФК по Волгоградской области г.Волгоград</w:t>
            </w:r>
          </w:p>
          <w:p>
            <w:pPr>
              <w:pStyle w:val="Style19"/>
              <w:spacing w:lineRule="auto" w:line="232"/>
              <w:rPr/>
            </w:pPr>
            <w:r>
              <w:rPr>
                <w:b w:val="false"/>
              </w:rPr>
              <w:t>Номер корреспондентского счета: 40102810445370000021, БИК 011806101</w:t>
            </w:r>
          </w:p>
        </w:tc>
        <w:tc>
          <w:tcPr>
            <w:tcW w:w="4659" w:type="dxa"/>
            <w:tcBorders/>
          </w:tcPr>
          <w:p>
            <w:pPr>
              <w:pStyle w:val="Style19"/>
              <w:ind w:firstLine="708"/>
              <w:jc w:val="both"/>
              <w:rPr>
                <w:szCs w:val="24"/>
              </w:rPr>
            </w:pPr>
            <w:r>
              <w:rPr>
                <w:szCs w:val="24"/>
              </w:rPr>
            </w:r>
          </w:p>
        </w:tc>
      </w:tr>
      <w:tr>
        <w:trPr/>
        <w:tc>
          <w:tcPr>
            <w:tcW w:w="4684" w:type="dxa"/>
            <w:tcBorders/>
          </w:tcPr>
          <w:p>
            <w:pPr>
              <w:pStyle w:val="Normal"/>
              <w:spacing w:lineRule="auto" w:line="232"/>
              <w:rPr>
                <w:sz w:val="24"/>
                <w:szCs w:val="24"/>
              </w:rPr>
            </w:pPr>
            <w:r>
              <w:rPr>
                <w:sz w:val="24"/>
                <w:szCs w:val="24"/>
              </w:rPr>
            </w:r>
          </w:p>
          <w:p>
            <w:pPr>
              <w:pStyle w:val="Normal"/>
              <w:spacing w:lineRule="auto" w:line="232"/>
              <w:rPr>
                <w:sz w:val="24"/>
                <w:szCs w:val="24"/>
              </w:rPr>
            </w:pPr>
            <w:r>
              <w:rPr>
                <w:sz w:val="24"/>
                <w:szCs w:val="24"/>
              </w:rPr>
            </w:r>
          </w:p>
          <w:p>
            <w:pPr>
              <w:pStyle w:val="Normal"/>
              <w:spacing w:lineRule="auto" w:line="232"/>
              <w:rPr>
                <w:sz w:val="24"/>
                <w:szCs w:val="24"/>
              </w:rPr>
            </w:pPr>
            <w:r>
              <w:rPr>
                <w:sz w:val="24"/>
                <w:szCs w:val="24"/>
              </w:rPr>
              <w:t>_______________ /_____________/</w:t>
            </w:r>
          </w:p>
        </w:tc>
        <w:tc>
          <w:tcPr>
            <w:tcW w:w="4659" w:type="dxa"/>
            <w:tcBorders/>
          </w:tcPr>
          <w:p>
            <w:pPr>
              <w:pStyle w:val="Normal"/>
              <w:spacing w:lineRule="auto" w:line="232"/>
              <w:jc w:val="center"/>
              <w:rPr>
                <w:sz w:val="24"/>
                <w:szCs w:val="24"/>
              </w:rPr>
            </w:pPr>
            <w:r>
              <w:rPr>
                <w:sz w:val="24"/>
                <w:szCs w:val="24"/>
              </w:rPr>
            </w:r>
          </w:p>
          <w:p>
            <w:pPr>
              <w:pStyle w:val="Normal"/>
              <w:spacing w:lineRule="auto" w:line="232"/>
              <w:jc w:val="center"/>
              <w:rPr>
                <w:sz w:val="24"/>
                <w:szCs w:val="24"/>
              </w:rPr>
            </w:pPr>
            <w:r>
              <w:rPr>
                <w:sz w:val="24"/>
                <w:szCs w:val="24"/>
              </w:rPr>
            </w:r>
          </w:p>
          <w:p>
            <w:pPr>
              <w:pStyle w:val="Normal"/>
              <w:spacing w:lineRule="auto" w:line="232"/>
              <w:jc w:val="center"/>
              <w:rPr>
                <w:sz w:val="24"/>
                <w:szCs w:val="24"/>
              </w:rPr>
            </w:pPr>
            <w:r>
              <w:rPr>
                <w:sz w:val="24"/>
                <w:szCs w:val="24"/>
              </w:rPr>
              <w:t>_______________ /_____________/</w:t>
            </w:r>
          </w:p>
          <w:p>
            <w:pPr>
              <w:pStyle w:val="Normal"/>
              <w:spacing w:lineRule="auto" w:line="232"/>
              <w:jc w:val="center"/>
              <w:rPr>
                <w:sz w:val="24"/>
                <w:szCs w:val="24"/>
              </w:rPr>
            </w:pPr>
            <w:r>
              <w:rPr>
                <w:sz w:val="24"/>
                <w:szCs w:val="24"/>
              </w:rPr>
            </w:r>
          </w:p>
        </w:tc>
      </w:tr>
    </w:tbl>
    <w:p>
      <w:pPr>
        <w:pStyle w:val="Normal"/>
        <w:ind w:firstLine="708"/>
        <w:jc w:val="both"/>
        <w:rPr>
          <w:b/>
          <w:b/>
          <w:color w:val="FF0000"/>
          <w:sz w:val="24"/>
          <w:szCs w:val="24"/>
        </w:rPr>
      </w:pPr>
      <w:r>
        <w:rPr>
          <w:b/>
          <w:color w:val="FF0000"/>
          <w:sz w:val="24"/>
          <w:szCs w:val="24"/>
        </w:rPr>
      </w:r>
    </w:p>
    <w:p>
      <w:pPr>
        <w:pStyle w:val="Normal"/>
        <w:jc w:val="both"/>
        <w:rPr>
          <w:color w:val="FF0000"/>
          <w:sz w:val="24"/>
          <w:szCs w:val="24"/>
        </w:rPr>
      </w:pPr>
      <w:r>
        <w:rPr/>
      </w:r>
    </w:p>
    <w:sectPr>
      <w:headerReference w:type="default" r:id="rId2"/>
      <w:footerReference w:type="default" r:id="rId3"/>
      <w:type w:val="nextPage"/>
      <w:pgSz w:w="11906" w:h="16838"/>
      <w:pgMar w:left="1531" w:right="992" w:header="709" w:top="1021" w:footer="193" w:bottom="1021" w:gutter="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w:charset w:val="01"/>
    <w:family w:val="roman"/>
    <w:pitch w:val="variable"/>
  </w:font>
  <w:font w:name="Courier New">
    <w:charset w:val="01"/>
    <w:family w:val="roman"/>
    <w:pitch w:val="variable"/>
  </w:font>
  <w:font w:name="XO Thames">
    <w:charset w:val="01"/>
    <w:family w:val="roman"/>
    <w:pitch w:val="variable"/>
  </w:font>
  <w:font w:name="Tahoma">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Style2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jc w:val="center"/>
      <w:rPr/>
    </w:pPr>
    <w:r>
      <w:rPr/>
    </w:r>
    <w:r>
      <mc:AlternateContent>
        <mc:Choice Requires="wps">
          <w:drawing>
            <wp:anchor behindDoc="0" distT="0" distB="0" distL="0" distR="0" simplePos="0" locked="0" layoutInCell="1" allowOverlap="1" relativeHeight="4">
              <wp:simplePos x="0" y="0"/>
              <wp:positionH relativeFrom="margin">
                <wp:align>center</wp:align>
              </wp:positionH>
              <wp:positionV relativeFrom="paragraph">
                <wp:posOffset>635</wp:posOffset>
              </wp:positionV>
              <wp:extent cx="64135" cy="146685"/>
              <wp:effectExtent l="0" t="0" r="0" b="0"/>
              <wp:wrapSquare wrapText="largest"/>
              <wp:docPr id="1" name="Врезка1"/>
              <a:graphic xmlns:a="http://schemas.openxmlformats.org/drawingml/2006/main">
                <a:graphicData uri="http://schemas.microsoft.com/office/word/2010/wordprocessingShape">
                  <wps:wsp>
                    <wps:cNvSpPr txBox="1"/>
                    <wps:spPr>
                      <a:xfrm>
                        <a:off x="0" y="0"/>
                        <a:ext cx="64135" cy="146685"/>
                      </a:xfrm>
                      <a:prstGeom prst="rect"/>
                      <a:solidFill>
                        <a:srgbClr val="FFFFFF">
                          <a:alpha val="0"/>
                        </a:srgbClr>
                      </a:solidFill>
                    </wps:spPr>
                    <wps:txbx>
                      <w:txbxContent>
                        <w:p>
                          <w:pPr>
                            <w:pStyle w:val="Normal"/>
                            <w:pBdr/>
                            <w:rPr/>
                          </w:pPr>
                          <w:r>
                            <w:rPr/>
                            <w:fldChar w:fldCharType="begin"/>
                          </w:r>
                          <w:r>
                            <w:rPr/>
                            <w:instrText> PAGE </w:instrText>
                          </w:r>
                          <w:r>
                            <w:rPr/>
                            <w:fldChar w:fldCharType="separate"/>
                          </w:r>
                          <w:r>
                            <w:rPr/>
                            <w:t>4</w:t>
                          </w:r>
                          <w:r>
                            <w:rPr/>
                            <w:fldChar w:fldCharType="end"/>
                          </w:r>
                        </w:p>
                      </w:txbxContent>
                    </wps:txbx>
                    <wps:bodyPr anchor="t" lIns="0" tIns="0" rIns="0" bIns="0">
                      <a:spAutoFit/>
                    </wps:bodyPr>
                  </wps:wsp>
                </a:graphicData>
              </a:graphic>
            </wp:anchor>
          </w:drawing>
        </mc:Choice>
        <mc:Fallback>
          <w:pict>
            <v:rect fillcolor="#FFFFFF" style="position:absolute;rotation:0;width:5.05pt;height:11.55pt;mso-wrap-distance-left:0pt;mso-wrap-distance-right:0pt;mso-wrap-distance-top:0pt;mso-wrap-distance-bottom:0pt;margin-top:0.05pt;mso-position-vertical-relative:text;margin-left:232.05pt;mso-position-horizontal:center;mso-position-horizontal-relative:margin">
              <v:fill opacity="0f"/>
              <v:textbox inset="0in,0in,0in,0in">
                <w:txbxContent>
                  <w:p>
                    <w:pPr>
                      <w:pStyle w:val="Normal"/>
                      <w:pBdr/>
                      <w:rPr/>
                    </w:pPr>
                    <w:r>
                      <w:rPr/>
                      <w:fldChar w:fldCharType="begin"/>
                    </w:r>
                    <w:r>
                      <w:rPr/>
                      <w:instrText> PAGE </w:instrText>
                    </w:r>
                    <w:r>
                      <w:rPr/>
                      <w:fldChar w:fldCharType="separate"/>
                    </w:r>
                    <w:r>
                      <w:rPr/>
                      <w:t>4</w:t>
                    </w:r>
                    <w:r>
                      <w:rPr/>
                      <w:fldChar w:fldCharType="end"/>
                    </w:r>
                  </w:p>
                </w:txbxContent>
              </v:textbox>
              <w10:wrap type="square" side="largest"/>
            </v:rect>
          </w:pict>
        </mc:Fallback>
      </mc:AlternateContent>
    </w:r>
  </w:p>
  <w:p>
    <w:pPr>
      <w:pStyle w:val="Style25"/>
      <w:rPr/>
    </w:pPr>
    <w:r>
      <w:rPr/>
    </w:r>
  </w:p>
</w:hdr>
</file>

<file path=word/settings.xml><?xml version="1.0" encoding="utf-8"?>
<w:settings xmlns:w="http://schemas.openxmlformats.org/wordprocessingml/2006/main">
  <w:zoom w:percent="11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qFormat="1"/>
    <w:lsdException w:name="heading 8" w:uiPriority="9" w:semiHidden="0" w:unhideWhenUsed="0" w:qFormat="1"/>
    <w:lsdException w:name="heading 9" w:uiPriority="9" w:qFormat="1"/>
    <w:lsdException w:name="toc 1" w:uiPriority="39" w:semiHidden="0" w:unhideWhenUsed="0"/>
    <w:lsdException w:name="toc 2" w:uiPriority="39" w:semiHidden="0" w:unhideWhenUsed="0"/>
    <w:lsdException w:name="toc 3" w:uiPriority="39" w:semiHidden="0" w:unhideWhenUsed="0"/>
    <w:lsdException w:name="toc 4" w:uiPriority="39" w:semiHidden="0" w:unhideWhenUsed="0"/>
    <w:lsdException w:name="toc 5" w:uiPriority="39" w:semiHidden="0" w:unhideWhenUsed="0"/>
    <w:lsdException w:name="toc 6" w:uiPriority="39" w:semiHidden="0" w:unhideWhenUsed="0"/>
    <w:lsdException w:name="toc 7" w:uiPriority="39" w:semiHidden="0" w:unhideWhenUsed="0"/>
    <w:lsdException w:name="toc 8" w:uiPriority="39" w:semiHidden="0" w:unhideWhenUsed="0"/>
    <w:lsdException w:name="toc 9" w:uiPriority="39" w:semiHidden="0" w:unhideWhenUsed="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semiHidden="0" w:unhideWhenUsed="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link w:val="1"/>
    <w:qFormat/>
    <w:rsid w:val="00da0488"/>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
    <w:name w:val="Heading 1"/>
    <w:basedOn w:val="Normal"/>
    <w:next w:val="Normal"/>
    <w:link w:val="11"/>
    <w:uiPriority w:val="9"/>
    <w:qFormat/>
    <w:rsid w:val="00da0488"/>
    <w:pPr>
      <w:keepNext w:val="true"/>
      <w:spacing w:before="240" w:after="60"/>
      <w:outlineLvl w:val="0"/>
    </w:pPr>
    <w:rPr>
      <w:rFonts w:ascii="Arial" w:hAnsi="Arial"/>
      <w:b/>
      <w:sz w:val="32"/>
    </w:rPr>
  </w:style>
  <w:style w:type="paragraph" w:styleId="2">
    <w:name w:val="Heading 2"/>
    <w:basedOn w:val="Normal"/>
    <w:next w:val="Normal"/>
    <w:link w:val="20"/>
    <w:uiPriority w:val="9"/>
    <w:qFormat/>
    <w:rsid w:val="00da0488"/>
    <w:pPr>
      <w:keepNext w:val="true"/>
      <w:spacing w:lineRule="auto" w:line="120" w:before="160" w:after="0"/>
      <w:jc w:val="both"/>
      <w:outlineLvl w:val="1"/>
    </w:pPr>
    <w:rPr>
      <w:sz w:val="24"/>
    </w:rPr>
  </w:style>
  <w:style w:type="paragraph" w:styleId="3">
    <w:name w:val="Heading 3"/>
    <w:basedOn w:val="Normal"/>
    <w:next w:val="Normal"/>
    <w:link w:val="30"/>
    <w:uiPriority w:val="9"/>
    <w:qFormat/>
    <w:rsid w:val="00da0488"/>
    <w:pPr>
      <w:keepNext w:val="true"/>
      <w:spacing w:before="240" w:after="60"/>
      <w:outlineLvl w:val="2"/>
    </w:pPr>
    <w:rPr>
      <w:rFonts w:ascii="Cambria" w:hAnsi="Cambria"/>
      <w:b/>
      <w:sz w:val="26"/>
    </w:rPr>
  </w:style>
  <w:style w:type="paragraph" w:styleId="4">
    <w:name w:val="Heading 4"/>
    <w:basedOn w:val="Normal"/>
    <w:next w:val="Normal"/>
    <w:link w:val="40"/>
    <w:uiPriority w:val="9"/>
    <w:qFormat/>
    <w:rsid w:val="00da0488"/>
    <w:pPr>
      <w:keepNext w:val="true"/>
      <w:spacing w:before="240" w:after="60"/>
      <w:outlineLvl w:val="3"/>
    </w:pPr>
    <w:rPr>
      <w:b/>
      <w:sz w:val="28"/>
    </w:rPr>
  </w:style>
  <w:style w:type="paragraph" w:styleId="5">
    <w:name w:val="Heading 5"/>
    <w:basedOn w:val="Normal"/>
    <w:next w:val="Normal"/>
    <w:link w:val="50"/>
    <w:uiPriority w:val="9"/>
    <w:qFormat/>
    <w:rsid w:val="00da0488"/>
    <w:pPr>
      <w:spacing w:before="240" w:after="60"/>
      <w:outlineLvl w:val="4"/>
    </w:pPr>
    <w:rPr>
      <w:rFonts w:ascii="Calibri" w:hAnsi="Calibri"/>
      <w:b/>
      <w:i/>
      <w:sz w:val="26"/>
    </w:rPr>
  </w:style>
  <w:style w:type="paragraph" w:styleId="6">
    <w:name w:val="Heading 6"/>
    <w:basedOn w:val="Normal"/>
    <w:next w:val="Normal"/>
    <w:link w:val="60"/>
    <w:uiPriority w:val="9"/>
    <w:qFormat/>
    <w:rsid w:val="00da0488"/>
    <w:pPr>
      <w:spacing w:before="240" w:after="60"/>
      <w:outlineLvl w:val="5"/>
    </w:pPr>
    <w:rPr>
      <w:rFonts w:ascii="Calibri" w:hAnsi="Calibri"/>
      <w:b/>
      <w:sz w:val="22"/>
    </w:rPr>
  </w:style>
  <w:style w:type="paragraph" w:styleId="8">
    <w:name w:val="Heading 8"/>
    <w:basedOn w:val="Normal"/>
    <w:next w:val="Normal"/>
    <w:link w:val="80"/>
    <w:uiPriority w:val="9"/>
    <w:qFormat/>
    <w:rsid w:val="00da0488"/>
    <w:pPr>
      <w:keepNext w:val="true"/>
      <w:outlineLvl w:val="7"/>
    </w:pPr>
    <w:rPr>
      <w:b/>
      <w:sz w:val="24"/>
    </w:rPr>
  </w:style>
  <w:style w:type="character" w:styleId="DefaultParagraphFont" w:default="1">
    <w:name w:val="Default Paragraph Font"/>
    <w:uiPriority w:val="1"/>
    <w:semiHidden/>
    <w:unhideWhenUsed/>
    <w:qFormat/>
    <w:rPr/>
  </w:style>
  <w:style w:type="character" w:styleId="11" w:customStyle="1">
    <w:name w:val="Обычный1"/>
    <w:qFormat/>
    <w:rsid w:val="00da0488"/>
    <w:rPr/>
  </w:style>
  <w:style w:type="character" w:styleId="21" w:customStyle="1">
    <w:name w:val="Оглавление 2 Знак"/>
    <w:link w:val="21"/>
    <w:qFormat/>
    <w:rsid w:val="00da0488"/>
    <w:rPr/>
  </w:style>
  <w:style w:type="character" w:styleId="41" w:customStyle="1">
    <w:name w:val="Оглавление 4 Знак"/>
    <w:link w:val="41"/>
    <w:qFormat/>
    <w:rsid w:val="00da0488"/>
    <w:rPr/>
  </w:style>
  <w:style w:type="character" w:styleId="61" w:customStyle="1">
    <w:name w:val="Оглавление 6 Знак"/>
    <w:link w:val="61"/>
    <w:qFormat/>
    <w:rsid w:val="00da0488"/>
    <w:rPr/>
  </w:style>
  <w:style w:type="character" w:styleId="7" w:customStyle="1">
    <w:name w:val="Оглавление 7 Знак"/>
    <w:link w:val="7"/>
    <w:qFormat/>
    <w:rsid w:val="00da0488"/>
    <w:rPr/>
  </w:style>
  <w:style w:type="character" w:styleId="31" w:customStyle="1">
    <w:name w:val="Заголовок 3 Знак"/>
    <w:basedOn w:val="11"/>
    <w:link w:val="3"/>
    <w:qFormat/>
    <w:rsid w:val="00da0488"/>
    <w:rPr>
      <w:rFonts w:ascii="Cambria" w:hAnsi="Cambria"/>
      <w:b/>
      <w:sz w:val="26"/>
    </w:rPr>
  </w:style>
  <w:style w:type="character" w:styleId="Style7" w:customStyle="1">
    <w:name w:val="Текст примечания Знак"/>
    <w:basedOn w:val="11"/>
    <w:link w:val="a3"/>
    <w:qFormat/>
    <w:rsid w:val="00da0488"/>
    <w:rPr/>
  </w:style>
  <w:style w:type="character" w:styleId="Style8" w:customStyle="1">
    <w:name w:val="Нижний колонтитул Знак"/>
    <w:basedOn w:val="11"/>
    <w:link w:val="a5"/>
    <w:qFormat/>
    <w:rsid w:val="00da0488"/>
    <w:rPr/>
  </w:style>
  <w:style w:type="character" w:styleId="22" w:customStyle="1">
    <w:name w:val="Основной текст 2 Знак"/>
    <w:basedOn w:val="11"/>
    <w:link w:val="23"/>
    <w:qFormat/>
    <w:rsid w:val="00da0488"/>
    <w:rPr>
      <w:sz w:val="24"/>
    </w:rPr>
  </w:style>
  <w:style w:type="character" w:styleId="ConsTitle" w:customStyle="1">
    <w:name w:val="ConsTitle"/>
    <w:link w:val="ConsTitle"/>
    <w:qFormat/>
    <w:rsid w:val="00da0488"/>
    <w:rPr>
      <w:rFonts w:ascii="Arial" w:hAnsi="Arial"/>
      <w:b/>
      <w:sz w:val="16"/>
    </w:rPr>
  </w:style>
  <w:style w:type="character" w:styleId="ConsPlusNonformat" w:customStyle="1">
    <w:name w:val="ConsPlusNonformat"/>
    <w:link w:val="ConsPlusNonformat"/>
    <w:qFormat/>
    <w:rsid w:val="00da0488"/>
    <w:rPr>
      <w:rFonts w:ascii="Courier New" w:hAnsi="Courier New"/>
    </w:rPr>
  </w:style>
  <w:style w:type="character" w:styleId="ConsPlusNormal" w:customStyle="1">
    <w:name w:val="ConsPlusNormal"/>
    <w:link w:val="ConsPlusNormal"/>
    <w:qFormat/>
    <w:rsid w:val="00da0488"/>
    <w:rPr>
      <w:rFonts w:ascii="Arial" w:hAnsi="Arial"/>
    </w:rPr>
  </w:style>
  <w:style w:type="character" w:styleId="Style9" w:customStyle="1">
    <w:name w:val="Верхний колонтитул Знак"/>
    <w:basedOn w:val="11"/>
    <w:link w:val="a7"/>
    <w:qFormat/>
    <w:rsid w:val="00da0488"/>
    <w:rPr/>
  </w:style>
  <w:style w:type="character" w:styleId="Style10" w:customStyle="1">
    <w:name w:val="Основной текст Знак"/>
    <w:basedOn w:val="11"/>
    <w:link w:val="a9"/>
    <w:qFormat/>
    <w:rsid w:val="00da0488"/>
    <w:rPr>
      <w:b/>
      <w:sz w:val="24"/>
    </w:rPr>
  </w:style>
  <w:style w:type="character" w:styleId="Style11" w:customStyle="1">
    <w:name w:val="Основной текст с отступом Знак"/>
    <w:basedOn w:val="11"/>
    <w:link w:val="ab"/>
    <w:qFormat/>
    <w:rsid w:val="00da0488"/>
    <w:rPr/>
  </w:style>
  <w:style w:type="character" w:styleId="32" w:customStyle="1">
    <w:name w:val="Оглавление 3 Знак"/>
    <w:link w:val="31"/>
    <w:qFormat/>
    <w:rsid w:val="00da0488"/>
    <w:rPr/>
  </w:style>
  <w:style w:type="character" w:styleId="51" w:customStyle="1">
    <w:name w:val="Заголовок 5 Знак"/>
    <w:basedOn w:val="11"/>
    <w:link w:val="5"/>
    <w:qFormat/>
    <w:rsid w:val="00da0488"/>
    <w:rPr>
      <w:rFonts w:ascii="Calibri" w:hAnsi="Calibri"/>
      <w:b/>
      <w:i/>
      <w:sz w:val="26"/>
    </w:rPr>
  </w:style>
  <w:style w:type="character" w:styleId="Style12" w:customStyle="1">
    <w:name w:val="Тема примечания Знак"/>
    <w:basedOn w:val="Style7"/>
    <w:link w:val="ad"/>
    <w:qFormat/>
    <w:rsid w:val="00da0488"/>
    <w:rPr>
      <w:b/>
    </w:rPr>
  </w:style>
  <w:style w:type="character" w:styleId="12" w:customStyle="1">
    <w:name w:val="Заголовок 1 Знак"/>
    <w:basedOn w:val="11"/>
    <w:link w:val="10"/>
    <w:qFormat/>
    <w:rsid w:val="00da0488"/>
    <w:rPr>
      <w:rFonts w:ascii="Arial" w:hAnsi="Arial"/>
      <w:b/>
      <w:sz w:val="32"/>
    </w:rPr>
  </w:style>
  <w:style w:type="character" w:styleId="Style13">
    <w:name w:val="Интернет-ссылка"/>
    <w:link w:val="12"/>
    <w:rsid w:val="00da0488"/>
    <w:rPr>
      <w:color w:val="0000FF"/>
      <w:u w:val="single"/>
    </w:rPr>
  </w:style>
  <w:style w:type="character" w:styleId="Footnote" w:customStyle="1">
    <w:name w:val="Footnote"/>
    <w:link w:val="Footnote"/>
    <w:qFormat/>
    <w:rsid w:val="00da0488"/>
    <w:rPr>
      <w:rFonts w:ascii="XO Thames" w:hAnsi="XO Thames"/>
      <w:sz w:val="22"/>
    </w:rPr>
  </w:style>
  <w:style w:type="character" w:styleId="81" w:customStyle="1">
    <w:name w:val="Заголовок 8 Знак"/>
    <w:basedOn w:val="11"/>
    <w:link w:val="8"/>
    <w:qFormat/>
    <w:rsid w:val="00da0488"/>
    <w:rPr>
      <w:b/>
      <w:sz w:val="24"/>
    </w:rPr>
  </w:style>
  <w:style w:type="character" w:styleId="13" w:customStyle="1">
    <w:name w:val="Оглавление 1 Знак"/>
    <w:link w:val="13"/>
    <w:qFormat/>
    <w:rsid w:val="00da0488"/>
    <w:rPr>
      <w:rFonts w:ascii="XO Thames" w:hAnsi="XO Thames"/>
      <w:b/>
    </w:rPr>
  </w:style>
  <w:style w:type="character" w:styleId="23" w:customStyle="1">
    <w:name w:val="Основной текст с отступом 2 Знак"/>
    <w:basedOn w:val="11"/>
    <w:link w:val="25"/>
    <w:qFormat/>
    <w:rsid w:val="00da0488"/>
    <w:rPr>
      <w:sz w:val="24"/>
    </w:rPr>
  </w:style>
  <w:style w:type="character" w:styleId="HeaderandFooter" w:customStyle="1">
    <w:name w:val="Header and Footer"/>
    <w:link w:val="HeaderandFooter"/>
    <w:qFormat/>
    <w:rsid w:val="00da0488"/>
    <w:rPr>
      <w:rFonts w:ascii="XO Thames" w:hAnsi="XO Thames"/>
      <w:sz w:val="20"/>
    </w:rPr>
  </w:style>
  <w:style w:type="character" w:styleId="9" w:customStyle="1">
    <w:name w:val="Оглавление 9 Знак"/>
    <w:link w:val="9"/>
    <w:qFormat/>
    <w:rsid w:val="00da0488"/>
    <w:rPr/>
  </w:style>
  <w:style w:type="character" w:styleId="Twpcp" w:customStyle="1">
    <w:name w:val="t_wpc_p"/>
    <w:basedOn w:val="11"/>
    <w:link w:val="twpcp"/>
    <w:qFormat/>
    <w:rsid w:val="00da0488"/>
    <w:rPr>
      <w:rFonts w:ascii="Arial" w:hAnsi="Arial"/>
      <w:color w:val="333333"/>
      <w:sz w:val="18"/>
    </w:rPr>
  </w:style>
  <w:style w:type="character" w:styleId="82" w:customStyle="1">
    <w:name w:val="Оглавление 8 Знак"/>
    <w:link w:val="81"/>
    <w:qFormat/>
    <w:rsid w:val="00da0488"/>
    <w:rPr/>
  </w:style>
  <w:style w:type="character" w:styleId="Style14" w:customStyle="1">
    <w:name w:val="Текст выноски Знак"/>
    <w:basedOn w:val="11"/>
    <w:link w:val="af0"/>
    <w:qFormat/>
    <w:rsid w:val="00da0488"/>
    <w:rPr>
      <w:rFonts w:ascii="Tahoma" w:hAnsi="Tahoma"/>
      <w:sz w:val="16"/>
    </w:rPr>
  </w:style>
  <w:style w:type="character" w:styleId="52" w:customStyle="1">
    <w:name w:val="Оглавление 5 Знак"/>
    <w:link w:val="51"/>
    <w:qFormat/>
    <w:rsid w:val="00da0488"/>
    <w:rPr/>
  </w:style>
  <w:style w:type="character" w:styleId="Style15" w:customStyle="1">
    <w:name w:val="Подзаголовок Знак"/>
    <w:link w:val="af2"/>
    <w:qFormat/>
    <w:rsid w:val="00da0488"/>
    <w:rPr>
      <w:rFonts w:ascii="XO Thames" w:hAnsi="XO Thames"/>
      <w:i/>
      <w:color w:val="616161"/>
      <w:sz w:val="24"/>
    </w:rPr>
  </w:style>
  <w:style w:type="character" w:styleId="Toc10" w:customStyle="1">
    <w:name w:val="toc 10"/>
    <w:link w:val="toc10"/>
    <w:qFormat/>
    <w:rsid w:val="00da0488"/>
    <w:rPr/>
  </w:style>
  <w:style w:type="character" w:styleId="Style16" w:customStyle="1">
    <w:name w:val="Название Знак"/>
    <w:link w:val="af4"/>
    <w:qFormat/>
    <w:rsid w:val="00da0488"/>
    <w:rPr>
      <w:rFonts w:ascii="XO Thames" w:hAnsi="XO Thames"/>
      <w:b/>
      <w:sz w:val="52"/>
    </w:rPr>
  </w:style>
  <w:style w:type="character" w:styleId="Annotationreference">
    <w:name w:val="annotation reference"/>
    <w:basedOn w:val="DefaultParagraphFont"/>
    <w:link w:val="16"/>
    <w:qFormat/>
    <w:rsid w:val="00da0488"/>
    <w:rPr>
      <w:sz w:val="16"/>
    </w:rPr>
  </w:style>
  <w:style w:type="character" w:styleId="42" w:customStyle="1">
    <w:name w:val="Заголовок 4 Знак"/>
    <w:basedOn w:val="11"/>
    <w:link w:val="4"/>
    <w:qFormat/>
    <w:rsid w:val="00da0488"/>
    <w:rPr>
      <w:b/>
      <w:sz w:val="28"/>
    </w:rPr>
  </w:style>
  <w:style w:type="character" w:styleId="24" w:customStyle="1">
    <w:name w:val="Заголовок 2 Знак"/>
    <w:basedOn w:val="11"/>
    <w:link w:val="2"/>
    <w:qFormat/>
    <w:rsid w:val="00da0488"/>
    <w:rPr>
      <w:sz w:val="24"/>
    </w:rPr>
  </w:style>
  <w:style w:type="character" w:styleId="62" w:customStyle="1">
    <w:name w:val="Заголовок 6 Знак"/>
    <w:basedOn w:val="11"/>
    <w:link w:val="6"/>
    <w:qFormat/>
    <w:rsid w:val="00da0488"/>
    <w:rPr>
      <w:rFonts w:ascii="Calibri" w:hAnsi="Calibri"/>
      <w:b/>
      <w:sz w:val="22"/>
    </w:rPr>
  </w:style>
  <w:style w:type="character" w:styleId="Style17" w:customStyle="1">
    <w:name w:val="Абзац списка Знак"/>
    <w:link w:val="af8"/>
    <w:uiPriority w:val="34"/>
    <w:qFormat/>
    <w:rsid w:val="006e0c56"/>
    <w:rPr>
      <w:rFonts w:ascii="Calibri" w:hAnsi="Calibri" w:eastAsia="Calibri"/>
      <w:color w:val="auto"/>
      <w:sz w:val="22"/>
      <w:szCs w:val="22"/>
      <w:lang w:eastAsia="en-US"/>
    </w:rPr>
  </w:style>
  <w:style w:type="paragraph" w:styleId="Style18">
    <w:name w:val="Заголовок"/>
    <w:basedOn w:val="Normal"/>
    <w:next w:val="Style19"/>
    <w:qFormat/>
    <w:pPr>
      <w:keepNext w:val="true"/>
      <w:spacing w:before="240" w:after="120"/>
    </w:pPr>
    <w:rPr>
      <w:rFonts w:ascii="Liberation Sans" w:hAnsi="Liberation Sans" w:eastAsia="WenQuanYi Zen Hei Sharp" w:cs="Lohit Devanagari"/>
      <w:sz w:val="28"/>
      <w:szCs w:val="28"/>
    </w:rPr>
  </w:style>
  <w:style w:type="paragraph" w:styleId="Style19">
    <w:name w:val="Body Text"/>
    <w:basedOn w:val="Normal"/>
    <w:link w:val="aa"/>
    <w:rsid w:val="00da0488"/>
    <w:pPr/>
    <w:rPr>
      <w:b/>
      <w:sz w:val="24"/>
    </w:rPr>
  </w:style>
  <w:style w:type="paragraph" w:styleId="Style20">
    <w:name w:val="List"/>
    <w:basedOn w:val="Style19"/>
    <w:pPr/>
    <w:rPr>
      <w:rFonts w:cs="Lohit Devanagari"/>
    </w:rPr>
  </w:style>
  <w:style w:type="paragraph" w:styleId="Style21">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25">
    <w:name w:val="TOC 2"/>
    <w:next w:val="Normal"/>
    <w:link w:val="22"/>
    <w:uiPriority w:val="39"/>
    <w:rsid w:val="00da0488"/>
    <w:pPr>
      <w:widowControl/>
      <w:bidi w:val="0"/>
      <w:spacing w:before="0" w:after="0"/>
      <w:ind w:left="200" w:hanging="0"/>
      <w:jc w:val="left"/>
    </w:pPr>
    <w:rPr>
      <w:rFonts w:ascii="Times New Roman" w:hAnsi="Times New Roman" w:eastAsia="Times New Roman" w:cs="Times New Roman"/>
      <w:color w:val="000000"/>
      <w:kern w:val="0"/>
      <w:sz w:val="20"/>
      <w:szCs w:val="20"/>
      <w:lang w:val="ru-RU" w:eastAsia="ru-RU" w:bidi="ar-SA"/>
    </w:rPr>
  </w:style>
  <w:style w:type="paragraph" w:styleId="43">
    <w:name w:val="TOC 4"/>
    <w:next w:val="Normal"/>
    <w:link w:val="42"/>
    <w:uiPriority w:val="39"/>
    <w:rsid w:val="00da0488"/>
    <w:pPr>
      <w:widowControl/>
      <w:bidi w:val="0"/>
      <w:spacing w:before="0" w:after="0"/>
      <w:ind w:left="600" w:hanging="0"/>
      <w:jc w:val="left"/>
    </w:pPr>
    <w:rPr>
      <w:rFonts w:ascii="Times New Roman" w:hAnsi="Times New Roman" w:eastAsia="Times New Roman" w:cs="Times New Roman"/>
      <w:color w:val="000000"/>
      <w:kern w:val="0"/>
      <w:sz w:val="20"/>
      <w:szCs w:val="20"/>
      <w:lang w:val="ru-RU" w:eastAsia="ru-RU" w:bidi="ar-SA"/>
    </w:rPr>
  </w:style>
  <w:style w:type="paragraph" w:styleId="63">
    <w:name w:val="TOC 6"/>
    <w:next w:val="Normal"/>
    <w:link w:val="62"/>
    <w:uiPriority w:val="39"/>
    <w:rsid w:val="00da0488"/>
    <w:pPr>
      <w:widowControl/>
      <w:bidi w:val="0"/>
      <w:spacing w:before="0" w:after="0"/>
      <w:ind w:left="1000" w:hanging="0"/>
      <w:jc w:val="left"/>
    </w:pPr>
    <w:rPr>
      <w:rFonts w:ascii="Times New Roman" w:hAnsi="Times New Roman" w:eastAsia="Times New Roman" w:cs="Times New Roman"/>
      <w:color w:val="000000"/>
      <w:kern w:val="0"/>
      <w:sz w:val="20"/>
      <w:szCs w:val="20"/>
      <w:lang w:val="ru-RU" w:eastAsia="ru-RU" w:bidi="ar-SA"/>
    </w:rPr>
  </w:style>
  <w:style w:type="paragraph" w:styleId="71">
    <w:name w:val="TOC 7"/>
    <w:next w:val="Normal"/>
    <w:link w:val="70"/>
    <w:uiPriority w:val="39"/>
    <w:rsid w:val="00da0488"/>
    <w:pPr>
      <w:widowControl/>
      <w:bidi w:val="0"/>
      <w:spacing w:before="0" w:after="0"/>
      <w:ind w:left="1200" w:hanging="0"/>
      <w:jc w:val="left"/>
    </w:pPr>
    <w:rPr>
      <w:rFonts w:ascii="Times New Roman" w:hAnsi="Times New Roman" w:eastAsia="Times New Roman" w:cs="Times New Roman"/>
      <w:color w:val="000000"/>
      <w:kern w:val="0"/>
      <w:sz w:val="20"/>
      <w:szCs w:val="20"/>
      <w:lang w:val="ru-RU" w:eastAsia="ru-RU" w:bidi="ar-SA"/>
    </w:rPr>
  </w:style>
  <w:style w:type="paragraph" w:styleId="Annotationtext">
    <w:name w:val="annotation text"/>
    <w:basedOn w:val="Normal"/>
    <w:link w:val="a4"/>
    <w:qFormat/>
    <w:rsid w:val="00da0488"/>
    <w:pPr/>
    <w:rPr/>
  </w:style>
  <w:style w:type="paragraph" w:styleId="Style23" w:customStyle="1">
    <w:name w:val="Верхний и нижний колонтитулы"/>
    <w:link w:val="HeaderandFooter0"/>
    <w:qFormat/>
    <w:rsid w:val="00da0488"/>
    <w:pPr>
      <w:widowControl/>
      <w:bidi w:val="0"/>
      <w:spacing w:lineRule="auto" w:line="360" w:before="0" w:after="0"/>
      <w:jc w:val="left"/>
    </w:pPr>
    <w:rPr>
      <w:rFonts w:ascii="XO Thames" w:hAnsi="XO Thames" w:eastAsia="Times New Roman" w:cs="Times New Roman"/>
      <w:color w:val="000000"/>
      <w:kern w:val="0"/>
      <w:sz w:val="20"/>
      <w:szCs w:val="20"/>
      <w:lang w:val="ru-RU" w:eastAsia="ru-RU" w:bidi="ar-SA"/>
    </w:rPr>
  </w:style>
  <w:style w:type="paragraph" w:styleId="Style24">
    <w:name w:val="Footer"/>
    <w:basedOn w:val="Normal"/>
    <w:link w:val="a6"/>
    <w:rsid w:val="00da0488"/>
    <w:pPr>
      <w:tabs>
        <w:tab w:val="clear" w:pos="708"/>
        <w:tab w:val="center" w:pos="4677" w:leader="none"/>
        <w:tab w:val="right" w:pos="9355" w:leader="none"/>
      </w:tabs>
    </w:pPr>
    <w:rPr/>
  </w:style>
  <w:style w:type="paragraph" w:styleId="BodyText2">
    <w:name w:val="Body Text 2"/>
    <w:basedOn w:val="Normal"/>
    <w:link w:val="24"/>
    <w:qFormat/>
    <w:rsid w:val="00da0488"/>
    <w:pPr>
      <w:ind w:firstLine="708"/>
      <w:jc w:val="both"/>
    </w:pPr>
    <w:rPr>
      <w:sz w:val="24"/>
    </w:rPr>
  </w:style>
  <w:style w:type="paragraph" w:styleId="ConsTitle1" w:customStyle="1">
    <w:name w:val="ConsTitle"/>
    <w:link w:val="ConsTitle0"/>
    <w:qFormat/>
    <w:rsid w:val="00da0488"/>
    <w:pPr>
      <w:widowControl/>
      <w:bidi w:val="0"/>
      <w:spacing w:before="0" w:after="0"/>
      <w:ind w:right="19772" w:hanging="0"/>
      <w:jc w:val="left"/>
    </w:pPr>
    <w:rPr>
      <w:rFonts w:ascii="Arial" w:hAnsi="Arial" w:eastAsia="Times New Roman" w:cs="Times New Roman"/>
      <w:b/>
      <w:color w:val="000000"/>
      <w:kern w:val="0"/>
      <w:sz w:val="16"/>
      <w:szCs w:val="20"/>
      <w:lang w:val="ru-RU" w:eastAsia="ru-RU" w:bidi="ar-SA"/>
    </w:rPr>
  </w:style>
  <w:style w:type="paragraph" w:styleId="ConsPlusNonformat1" w:customStyle="1">
    <w:name w:val="ConsPlusNonformat"/>
    <w:link w:val="ConsPlusNonformat0"/>
    <w:qFormat/>
    <w:rsid w:val="00da0488"/>
    <w:pPr>
      <w:widowControl w:val="false"/>
      <w:bidi w:val="0"/>
      <w:spacing w:before="0" w:after="0"/>
      <w:jc w:val="left"/>
    </w:pPr>
    <w:rPr>
      <w:rFonts w:ascii="Courier New" w:hAnsi="Courier New" w:eastAsia="Times New Roman" w:cs="Times New Roman"/>
      <w:color w:val="000000"/>
      <w:kern w:val="0"/>
      <w:sz w:val="20"/>
      <w:szCs w:val="20"/>
      <w:lang w:val="ru-RU" w:eastAsia="ru-RU" w:bidi="ar-SA"/>
    </w:rPr>
  </w:style>
  <w:style w:type="paragraph" w:styleId="ConsPlusNormal1" w:customStyle="1">
    <w:name w:val="ConsPlusNormal"/>
    <w:link w:val="ConsPlusNormal0"/>
    <w:qFormat/>
    <w:rsid w:val="00da0488"/>
    <w:pPr>
      <w:widowControl w:val="false"/>
      <w:bidi w:val="0"/>
      <w:spacing w:before="0" w:after="0"/>
      <w:ind w:firstLine="720"/>
      <w:jc w:val="left"/>
    </w:pPr>
    <w:rPr>
      <w:rFonts w:ascii="Arial" w:hAnsi="Arial" w:eastAsia="Times New Roman" w:cs="Times New Roman"/>
      <w:color w:val="000000"/>
      <w:kern w:val="0"/>
      <w:sz w:val="20"/>
      <w:szCs w:val="20"/>
      <w:lang w:val="ru-RU" w:eastAsia="ru-RU" w:bidi="ar-SA"/>
    </w:rPr>
  </w:style>
  <w:style w:type="paragraph" w:styleId="Style25">
    <w:name w:val="Header"/>
    <w:basedOn w:val="Normal"/>
    <w:link w:val="a8"/>
    <w:rsid w:val="00da0488"/>
    <w:pPr>
      <w:tabs>
        <w:tab w:val="clear" w:pos="708"/>
        <w:tab w:val="center" w:pos="4677" w:leader="none"/>
        <w:tab w:val="right" w:pos="9355" w:leader="none"/>
      </w:tabs>
    </w:pPr>
    <w:rPr/>
  </w:style>
  <w:style w:type="paragraph" w:styleId="Style26">
    <w:name w:val="Body Text Indent"/>
    <w:basedOn w:val="Normal"/>
    <w:link w:val="ac"/>
    <w:rsid w:val="00da0488"/>
    <w:pPr>
      <w:spacing w:before="0" w:after="120"/>
      <w:ind w:left="283" w:hanging="0"/>
    </w:pPr>
    <w:rPr/>
  </w:style>
  <w:style w:type="paragraph" w:styleId="33">
    <w:name w:val="TOC 3"/>
    <w:next w:val="Normal"/>
    <w:link w:val="32"/>
    <w:uiPriority w:val="39"/>
    <w:rsid w:val="00da0488"/>
    <w:pPr>
      <w:widowControl/>
      <w:bidi w:val="0"/>
      <w:spacing w:before="0" w:after="0"/>
      <w:ind w:left="400" w:hanging="0"/>
      <w:jc w:val="left"/>
    </w:pPr>
    <w:rPr>
      <w:rFonts w:ascii="Times New Roman" w:hAnsi="Times New Roman" w:eastAsia="Times New Roman" w:cs="Times New Roman"/>
      <w:color w:val="000000"/>
      <w:kern w:val="0"/>
      <w:sz w:val="20"/>
      <w:szCs w:val="20"/>
      <w:lang w:val="ru-RU" w:eastAsia="ru-RU" w:bidi="ar-SA"/>
    </w:rPr>
  </w:style>
  <w:style w:type="paragraph" w:styleId="Annotationsubject">
    <w:name w:val="annotation subject"/>
    <w:basedOn w:val="Annotationtext"/>
    <w:next w:val="Annotationtext"/>
    <w:link w:val="ae"/>
    <w:qFormat/>
    <w:rsid w:val="00da0488"/>
    <w:pPr/>
    <w:rPr>
      <w:b/>
    </w:rPr>
  </w:style>
  <w:style w:type="paragraph" w:styleId="14" w:customStyle="1">
    <w:name w:val="Гиперссылка1"/>
    <w:link w:val="af"/>
    <w:qFormat/>
    <w:rsid w:val="00da0488"/>
    <w:pPr>
      <w:widowControl/>
      <w:bidi w:val="0"/>
      <w:spacing w:before="0" w:after="0"/>
      <w:jc w:val="left"/>
    </w:pPr>
    <w:rPr>
      <w:rFonts w:ascii="Times New Roman" w:hAnsi="Times New Roman" w:eastAsia="Times New Roman" w:cs="Times New Roman"/>
      <w:color w:val="0000FF"/>
      <w:kern w:val="0"/>
      <w:sz w:val="20"/>
      <w:szCs w:val="20"/>
      <w:u w:val="single"/>
      <w:lang w:val="ru-RU" w:eastAsia="ru-RU" w:bidi="ar-SA"/>
    </w:rPr>
  </w:style>
  <w:style w:type="paragraph" w:styleId="Footnote1" w:customStyle="1">
    <w:name w:val="Footnote"/>
    <w:link w:val="Footnote0"/>
    <w:qFormat/>
    <w:rsid w:val="00da0488"/>
    <w:pPr>
      <w:widowControl/>
      <w:bidi w:val="0"/>
      <w:spacing w:before="0" w:after="0"/>
      <w:jc w:val="left"/>
    </w:pPr>
    <w:rPr>
      <w:rFonts w:ascii="XO Thames" w:hAnsi="XO Thames" w:eastAsia="Times New Roman" w:cs="Times New Roman"/>
      <w:color w:val="000000"/>
      <w:kern w:val="0"/>
      <w:sz w:val="22"/>
      <w:szCs w:val="20"/>
      <w:lang w:val="ru-RU" w:eastAsia="ru-RU" w:bidi="ar-SA"/>
    </w:rPr>
  </w:style>
  <w:style w:type="paragraph" w:styleId="15">
    <w:name w:val="TOC 1"/>
    <w:next w:val="Normal"/>
    <w:link w:val="14"/>
    <w:uiPriority w:val="39"/>
    <w:rsid w:val="00da0488"/>
    <w:pPr>
      <w:widowControl/>
      <w:bidi w:val="0"/>
      <w:spacing w:before="0" w:after="0"/>
      <w:jc w:val="left"/>
    </w:pPr>
    <w:rPr>
      <w:rFonts w:ascii="XO Thames" w:hAnsi="XO Thames" w:eastAsia="Times New Roman" w:cs="Times New Roman"/>
      <w:b/>
      <w:color w:val="000000"/>
      <w:kern w:val="0"/>
      <w:sz w:val="20"/>
      <w:szCs w:val="20"/>
      <w:lang w:val="ru-RU" w:eastAsia="ru-RU" w:bidi="ar-SA"/>
    </w:rPr>
  </w:style>
  <w:style w:type="paragraph" w:styleId="BodyTextIndent2">
    <w:name w:val="Body Text Indent 2"/>
    <w:basedOn w:val="Normal"/>
    <w:link w:val="26"/>
    <w:qFormat/>
    <w:rsid w:val="00da0488"/>
    <w:pPr>
      <w:spacing w:lineRule="auto" w:line="480" w:before="0" w:after="120"/>
      <w:ind w:left="283" w:hanging="0"/>
    </w:pPr>
    <w:rPr>
      <w:sz w:val="24"/>
    </w:rPr>
  </w:style>
  <w:style w:type="paragraph" w:styleId="16" w:customStyle="1">
    <w:name w:val="Основной шрифт абзаца1"/>
    <w:qFormat/>
    <w:rsid w:val="00da0488"/>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91">
    <w:name w:val="TOC 9"/>
    <w:next w:val="Normal"/>
    <w:link w:val="90"/>
    <w:uiPriority w:val="39"/>
    <w:rsid w:val="00da0488"/>
    <w:pPr>
      <w:widowControl/>
      <w:bidi w:val="0"/>
      <w:spacing w:before="0" w:after="0"/>
      <w:ind w:left="1600" w:hanging="0"/>
      <w:jc w:val="left"/>
    </w:pPr>
    <w:rPr>
      <w:rFonts w:ascii="Times New Roman" w:hAnsi="Times New Roman" w:eastAsia="Times New Roman" w:cs="Times New Roman"/>
      <w:color w:val="000000"/>
      <w:kern w:val="0"/>
      <w:sz w:val="20"/>
      <w:szCs w:val="20"/>
      <w:lang w:val="ru-RU" w:eastAsia="ru-RU" w:bidi="ar-SA"/>
    </w:rPr>
  </w:style>
  <w:style w:type="paragraph" w:styleId="Twpcp1" w:customStyle="1">
    <w:name w:val="t_wpc_p"/>
    <w:basedOn w:val="Normal"/>
    <w:link w:val="twpcp0"/>
    <w:qFormat/>
    <w:rsid w:val="00da0488"/>
    <w:pPr>
      <w:spacing w:lineRule="atLeast" w:line="210" w:beforeAutospacing="1" w:afterAutospacing="1"/>
      <w:jc w:val="both"/>
    </w:pPr>
    <w:rPr>
      <w:rFonts w:ascii="Arial" w:hAnsi="Arial"/>
      <w:color w:val="333333"/>
      <w:sz w:val="18"/>
    </w:rPr>
  </w:style>
  <w:style w:type="paragraph" w:styleId="83">
    <w:name w:val="TOC 8"/>
    <w:next w:val="Normal"/>
    <w:link w:val="82"/>
    <w:uiPriority w:val="39"/>
    <w:rsid w:val="00da0488"/>
    <w:pPr>
      <w:widowControl/>
      <w:bidi w:val="0"/>
      <w:spacing w:before="0" w:after="0"/>
      <w:ind w:left="1400" w:hanging="0"/>
      <w:jc w:val="left"/>
    </w:pPr>
    <w:rPr>
      <w:rFonts w:ascii="Times New Roman" w:hAnsi="Times New Roman" w:eastAsia="Times New Roman" w:cs="Times New Roman"/>
      <w:color w:val="000000"/>
      <w:kern w:val="0"/>
      <w:sz w:val="20"/>
      <w:szCs w:val="20"/>
      <w:lang w:val="ru-RU" w:eastAsia="ru-RU" w:bidi="ar-SA"/>
    </w:rPr>
  </w:style>
  <w:style w:type="paragraph" w:styleId="BalloonText">
    <w:name w:val="Balloon Text"/>
    <w:basedOn w:val="Normal"/>
    <w:link w:val="af1"/>
    <w:qFormat/>
    <w:rsid w:val="00da0488"/>
    <w:pPr/>
    <w:rPr>
      <w:rFonts w:ascii="Tahoma" w:hAnsi="Tahoma"/>
      <w:sz w:val="16"/>
    </w:rPr>
  </w:style>
  <w:style w:type="paragraph" w:styleId="53">
    <w:name w:val="TOC 5"/>
    <w:next w:val="Normal"/>
    <w:link w:val="52"/>
    <w:uiPriority w:val="39"/>
    <w:rsid w:val="00da0488"/>
    <w:pPr>
      <w:widowControl/>
      <w:bidi w:val="0"/>
      <w:spacing w:before="0" w:after="0"/>
      <w:ind w:left="800" w:hanging="0"/>
      <w:jc w:val="left"/>
    </w:pPr>
    <w:rPr>
      <w:rFonts w:ascii="Times New Roman" w:hAnsi="Times New Roman" w:eastAsia="Times New Roman" w:cs="Times New Roman"/>
      <w:color w:val="000000"/>
      <w:kern w:val="0"/>
      <w:sz w:val="20"/>
      <w:szCs w:val="20"/>
      <w:lang w:val="ru-RU" w:eastAsia="ru-RU" w:bidi="ar-SA"/>
    </w:rPr>
  </w:style>
  <w:style w:type="paragraph" w:styleId="Style27">
    <w:name w:val="Subtitle"/>
    <w:next w:val="Normal"/>
    <w:link w:val="af3"/>
    <w:uiPriority w:val="11"/>
    <w:qFormat/>
    <w:rsid w:val="00da0488"/>
    <w:pPr>
      <w:widowControl/>
      <w:bidi w:val="0"/>
      <w:spacing w:before="0" w:after="0"/>
      <w:jc w:val="left"/>
    </w:pPr>
    <w:rPr>
      <w:rFonts w:ascii="XO Thames" w:hAnsi="XO Thames" w:eastAsia="Times New Roman" w:cs="Times New Roman"/>
      <w:i/>
      <w:color w:val="616161"/>
      <w:kern w:val="0"/>
      <w:sz w:val="24"/>
      <w:szCs w:val="20"/>
      <w:lang w:val="ru-RU" w:eastAsia="ru-RU" w:bidi="ar-SA"/>
    </w:rPr>
  </w:style>
  <w:style w:type="paragraph" w:styleId="Toc101" w:customStyle="1">
    <w:name w:val="toc 10"/>
    <w:next w:val="Normal"/>
    <w:link w:val="toc100"/>
    <w:uiPriority w:val="39"/>
    <w:qFormat/>
    <w:rsid w:val="00da0488"/>
    <w:pPr>
      <w:widowControl/>
      <w:bidi w:val="0"/>
      <w:spacing w:before="0" w:after="0"/>
      <w:ind w:left="1800" w:hanging="0"/>
      <w:jc w:val="left"/>
    </w:pPr>
    <w:rPr>
      <w:rFonts w:ascii="Times New Roman" w:hAnsi="Times New Roman" w:eastAsia="Times New Roman" w:cs="Times New Roman"/>
      <w:color w:val="000000"/>
      <w:kern w:val="0"/>
      <w:sz w:val="20"/>
      <w:szCs w:val="20"/>
      <w:lang w:val="ru-RU" w:eastAsia="ru-RU" w:bidi="ar-SA"/>
    </w:rPr>
  </w:style>
  <w:style w:type="paragraph" w:styleId="Style28">
    <w:name w:val="Title"/>
    <w:next w:val="Normal"/>
    <w:link w:val="af5"/>
    <w:uiPriority w:val="10"/>
    <w:qFormat/>
    <w:rsid w:val="00da0488"/>
    <w:pPr>
      <w:widowControl/>
      <w:bidi w:val="0"/>
      <w:spacing w:before="0" w:after="0"/>
      <w:jc w:val="left"/>
    </w:pPr>
    <w:rPr>
      <w:rFonts w:ascii="XO Thames" w:hAnsi="XO Thames" w:eastAsia="Times New Roman" w:cs="Times New Roman"/>
      <w:b/>
      <w:color w:val="000000"/>
      <w:kern w:val="0"/>
      <w:sz w:val="52"/>
      <w:szCs w:val="20"/>
      <w:lang w:val="ru-RU" w:eastAsia="ru-RU" w:bidi="ar-SA"/>
    </w:rPr>
  </w:style>
  <w:style w:type="paragraph" w:styleId="17" w:customStyle="1">
    <w:name w:val="Знак примечания1"/>
    <w:basedOn w:val="16"/>
    <w:link w:val="af6"/>
    <w:qFormat/>
    <w:rsid w:val="00da0488"/>
    <w:pPr/>
    <w:rPr>
      <w:sz w:val="16"/>
    </w:rPr>
  </w:style>
  <w:style w:type="paragraph" w:styleId="ListParagraph">
    <w:name w:val="List Paragraph"/>
    <w:basedOn w:val="Normal"/>
    <w:link w:val="af9"/>
    <w:uiPriority w:val="34"/>
    <w:qFormat/>
    <w:rsid w:val="006e0c56"/>
    <w:pPr>
      <w:spacing w:lineRule="auto" w:line="276" w:before="0" w:after="200"/>
      <w:ind w:left="720" w:hanging="0"/>
      <w:contextualSpacing/>
    </w:pPr>
    <w:rPr>
      <w:rFonts w:ascii="Calibri" w:hAnsi="Calibri" w:eastAsia="Calibri"/>
      <w:color w:val="auto"/>
      <w:sz w:val="22"/>
      <w:szCs w:val="22"/>
      <w:lang w:eastAsia="en-US"/>
    </w:rPr>
  </w:style>
  <w:style w:type="paragraph" w:styleId="Style29">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7">
    <w:name w:val="Table Grid"/>
    <w:basedOn w:val="a1"/>
    <w:rsid w:val="00da048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Application>LibreOffice/6.4.1.2$Linux_X86_64 LibreOffice_project/40$Build-2</Application>
  <Pages>4</Pages>
  <Words>1107</Words>
  <Characters>7936</Characters>
  <CharactersWithSpaces>9033</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2026-03-18T13:04:00Z</dcterms:created>
  <dc:creator>Табакова Ольга Витальевна</dc:creator>
  <dc:description/>
  <dc:language>ru-RU</dc:language>
  <cp:lastModifiedBy/>
  <cp:lastPrinted>2026-04-17T06:48:00Z</cp:lastPrinted>
  <dcterms:modified xsi:type="dcterms:W3CDTF">2026-08-17T14:55:56Z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